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45A" w:rsidP="00D7645A" w:rsidRDefault="00D7645A" w14:paraId="6FD0C385" w14:textId="77777777">
      <w:pPr>
        <w:pStyle w:val="TITRE1erpage"/>
      </w:pPr>
      <w:r>
        <w:t xml:space="preserve">MT 4 - </w:t>
      </w:r>
      <w:r>
        <w:br/>
      </w:r>
      <w:r>
        <w:t xml:space="preserve">Formal notice to pay salary </w:t>
      </w:r>
      <w:r>
        <w:rPr>
          <w:rStyle w:val="FootnoteReference"/>
        </w:rPr>
        <w:footnoteReference w:id="1"/>
      </w:r>
    </w:p>
    <w:p w:rsidR="00D7645A" w:rsidP="00D7645A" w:rsidRDefault="00D7645A" w14:paraId="36E9C4EC" w14:textId="77777777">
      <w:pPr>
        <w:pStyle w:val="Texte"/>
      </w:pPr>
      <w:r>
        <w:t>Remuneration is the direct counterpart of the work done by the employee for the employer. In principle, it corresponds to a cash benefit (salary, bonuses, premiums, etc.). In some cases it is combined with a benefit in kind (free accommodation, food, company car, etc.).</w:t>
      </w:r>
    </w:p>
    <w:p w:rsidR="00D7645A" w:rsidP="00D7645A" w:rsidRDefault="00D7645A" w14:paraId="41345219" w14:textId="77777777">
      <w:pPr>
        <w:pStyle w:val="Texte"/>
      </w:pPr>
      <w:r>
        <w:t>As a rule, it is freely determined by both parties, although there are certain references to be taken into account, such as the existence of a social minimum wage or pay scales provided for in certain collective labour agreements.</w:t>
      </w:r>
    </w:p>
    <w:p w:rsidR="00D7645A" w:rsidP="00D7645A" w:rsidRDefault="00D7645A" w14:paraId="0F3E640C" w14:textId="77777777">
      <w:pPr>
        <w:pStyle w:val="Texte"/>
      </w:pPr>
      <w:r>
        <w:t>The salary is to be paid monthly, at the latest on the last day of the relevant calendar month.</w:t>
      </w:r>
    </w:p>
    <w:p w:rsidR="00D7645A" w:rsidP="00D7645A" w:rsidRDefault="00D7645A" w14:paraId="6790E777" w14:textId="77777777">
      <w:pPr>
        <w:pStyle w:val="Texte"/>
      </w:pPr>
      <w:r>
        <w:t>In case of legitimate and urgent needs, an employee may obtain payment of the part of the salary corresponding to the work performed in advance.</w:t>
      </w:r>
    </w:p>
    <w:p w:rsidR="00D7645A" w:rsidP="00D7645A" w:rsidRDefault="00D7645A" w14:paraId="3D0CA888" w14:textId="77777777">
      <w:pPr>
        <w:pStyle w:val="Texte"/>
      </w:pPr>
      <w:r>
        <w:t>Wage supplements must be paid at the latest within two months following either the year of service, the end of the business year or publication of financial results of that year.</w:t>
      </w:r>
    </w:p>
    <w:p w:rsidRPr="00A233A1" w:rsidR="00D7645A" w:rsidP="00A233A1" w:rsidRDefault="00D7645A" w14:paraId="29AA3D41" w14:textId="77777777">
      <w:pPr>
        <w:pStyle w:val="ArticleetTitres2"/>
      </w:pPr>
      <w:r w:rsidRPr="00A233A1">
        <w:t xml:space="preserve">How to respond to non-payment of salary </w:t>
      </w:r>
    </w:p>
    <w:p w:rsidR="00D7645A" w:rsidP="00D7645A" w:rsidRDefault="00D7645A" w14:paraId="02FCA3E9" w14:textId="77777777">
      <w:pPr>
        <w:pStyle w:val="Texte"/>
      </w:pPr>
      <w:r>
        <w:t xml:space="preserve">Wage disputes are usually handled in the following manner: </w:t>
      </w:r>
    </w:p>
    <w:p w:rsidR="00D7645A" w:rsidP="00D7645A" w:rsidRDefault="00D7645A" w14:paraId="3128C516" w14:textId="77777777">
      <w:pPr>
        <w:pStyle w:val="Texte"/>
        <w:numPr>
          <w:ilvl w:val="0"/>
          <w:numId w:val="1"/>
        </w:numPr>
      </w:pPr>
      <w:r>
        <w:t>a registered letter is sent to the employer to put him on notice to pay the amount due within a set period of eight or 15 days.  A copy of this notice can be sent to the Labour and Mines Inspectorate (ITM)</w:t>
      </w:r>
    </w:p>
    <w:p w:rsidR="00D7645A" w:rsidP="00D7645A" w:rsidRDefault="00D7645A" w14:paraId="041DB39E" w14:textId="77777777">
      <w:pPr>
        <w:pStyle w:val="Texte"/>
        <w:numPr>
          <w:ilvl w:val="0"/>
          <w:numId w:val="1"/>
        </w:numPr>
      </w:pPr>
      <w:r>
        <w:t>if the disagreement persists, i.e. if the formal notice remains unanswered, the dispute will be brought before the labour courts by means of a petition for payment of wage arrears (recovery of wage claims)</w:t>
      </w:r>
    </w:p>
    <w:p w:rsidR="00D7645A" w:rsidP="00D7645A" w:rsidRDefault="00D7645A" w14:paraId="0280579E" w14:textId="77777777">
      <w:pPr>
        <w:pStyle w:val="Texte"/>
        <w:ind w:left="708"/>
      </w:pPr>
      <w:r>
        <w:rPr>
          <w:b/>
          <w:u w:val="single"/>
        </w:rPr>
        <w:t>Attention</w:t>
      </w:r>
      <w:r>
        <w:t>: Wages are subject to a 3-year statute of limitations, which means that all wages claimed for periods over three years from the filing of the claim can no longer be claimed.   Such wages are therefore lost for the employee. This 3-year statute of limitations applies not only to wages as such, but also to all kinds of remuneration due to the employee.</w:t>
      </w:r>
    </w:p>
    <w:p w:rsidR="00D7645A" w:rsidP="00AE68C5" w:rsidRDefault="00D7645A" w14:paraId="7FC6B979" w14:textId="141C60DB">
      <w:pPr>
        <w:pStyle w:val="Texte"/>
        <w:numPr>
          <w:ilvl w:val="0"/>
          <w:numId w:val="2"/>
        </w:numPr>
      </w:pPr>
      <w:r>
        <w:t>resignation with immediate effect: It is case law that the systematic, persistent and repeated non-payment of wages by the employer constitutes serious misconduct on his part, making the employee's resignation with immediate effect justified, whereas the employer's main obligation remains that of paying wages in return for the work performed by his employee (</w:t>
      </w:r>
      <w:r w:rsidRPr="000B56E4">
        <w:t xml:space="preserve">Court of Appeal, 4 July 2013, No. 39309 of the case list, </w:t>
      </w:r>
      <w:proofErr w:type="spellStart"/>
      <w:r w:rsidRPr="000B56E4">
        <w:t>InfosJuridiques</w:t>
      </w:r>
      <w:proofErr w:type="spellEnd"/>
      <w:r w:rsidRPr="000B56E4">
        <w:t>, CSL, No. 8/2013, page 13</w:t>
      </w:r>
      <w:r>
        <w:t>) (</w:t>
      </w:r>
      <w:r w:rsidRPr="000B56E4">
        <w:t>see MT 10</w:t>
      </w:r>
      <w:r>
        <w:t>).Employees can then take the matter to the Labour Court to have it recognised that the employer is guilty of serious misconduct and thus obtain damages</w:t>
      </w:r>
      <w:r w:rsidR="000416E2">
        <w:t xml:space="preserve"> </w:t>
      </w:r>
      <w:r w:rsidRPr="000416E2" w:rsidR="000416E2">
        <w:t>and compensation</w:t>
      </w:r>
      <w:r>
        <w:t>.</w:t>
      </w:r>
      <w:r w:rsidR="000416E2">
        <w:t xml:space="preserve"> The employee is also entitled to a compensatory notice period allowance and a departure indemnity if they have more than 5 years of seniority. The employee can also request temporary unemployment benefits.</w:t>
      </w:r>
    </w:p>
    <w:p w:rsidR="00D7645A" w:rsidP="00D7645A" w:rsidRDefault="00D7645A" w14:paraId="05C65DFB" w14:textId="77777777">
      <w:pPr>
        <w:rPr>
          <w:rFonts w:ascii="Verdana" w:hAnsi="Verdana"/>
          <w:sz w:val="18"/>
          <w:szCs w:val="18"/>
        </w:rPr>
      </w:pPr>
      <w:r>
        <w:br w:type="page"/>
      </w:r>
    </w:p>
    <w:p w:rsidR="00D7645A" w:rsidP="00D7645A" w:rsidRDefault="00D7645A" w14:paraId="548CA4DB" w14:textId="77777777">
      <w:pPr>
        <w:pStyle w:val="Texte"/>
      </w:pPr>
      <w:r>
        <w:t>(Name and address of employee)</w:t>
      </w:r>
    </w:p>
    <w:p w:rsidR="00D7645A" w:rsidP="00D7645A" w:rsidRDefault="00D7645A" w14:paraId="329D4DA3" w14:textId="77777777">
      <w:pPr>
        <w:pStyle w:val="Texte"/>
        <w:spacing w:before="600"/>
        <w:jc w:val="right"/>
      </w:pPr>
      <w:r>
        <w:t>(Name and address of employer)</w:t>
      </w:r>
    </w:p>
    <w:p w:rsidR="00D7645A" w:rsidP="00D7645A" w:rsidRDefault="00D7645A" w14:paraId="57B82527" w14:textId="77777777">
      <w:pPr>
        <w:pStyle w:val="Texte"/>
        <w:spacing w:before="600"/>
        <w:jc w:val="right"/>
      </w:pPr>
      <w:r>
        <w:t>(place and date)</w:t>
      </w:r>
    </w:p>
    <w:p w:rsidR="00D7645A" w:rsidP="00D7645A" w:rsidRDefault="00D7645A" w14:paraId="4E76392F" w14:textId="77777777">
      <w:pPr>
        <w:pStyle w:val="Article"/>
        <w:spacing w:before="480"/>
      </w:pPr>
      <w:r>
        <w:t>BY REGISTERED POST</w:t>
      </w:r>
    </w:p>
    <w:p w:rsidR="00003ED3" w:rsidP="001C142D" w:rsidRDefault="00003ED3" w14:paraId="333C6D11" w14:textId="77777777">
      <w:pPr>
        <w:pStyle w:val="Texte"/>
        <w:spacing w:before="240"/>
      </w:pPr>
    </w:p>
    <w:p w:rsidR="00D7645A" w:rsidP="001C142D" w:rsidRDefault="00D7645A" w14:paraId="5256F314" w14:textId="77777777">
      <w:pPr>
        <w:pStyle w:val="Texte"/>
        <w:spacing w:before="240"/>
      </w:pPr>
      <w:r>
        <w:t xml:space="preserve">Regarding: Non-payment of salary </w:t>
      </w:r>
    </w:p>
    <w:p w:rsidR="00D7645A" w:rsidP="00D7645A" w:rsidRDefault="00D7645A" w14:paraId="6CB836A8" w14:textId="77777777">
      <w:pPr>
        <w:pStyle w:val="Texte"/>
        <w:rPr>
          <w:i/>
        </w:rPr>
      </w:pPr>
    </w:p>
    <w:p w:rsidR="00D7645A" w:rsidP="00D7645A" w:rsidRDefault="00D7645A" w14:paraId="7215B68D" w14:textId="77777777">
      <w:pPr>
        <w:pStyle w:val="Texte"/>
      </w:pPr>
      <w:r>
        <w:rPr>
          <w:i/>
        </w:rPr>
        <w:t xml:space="preserve">Dear Sir or Madam </w:t>
      </w:r>
      <w:r w:rsidRPr="00A233A1">
        <w:rPr>
          <w:rStyle w:val="FootnoteReference"/>
          <w:iCs/>
        </w:rPr>
        <w:footnoteReference w:id="2"/>
      </w:r>
      <w:r>
        <w:t>,</w:t>
      </w:r>
    </w:p>
    <w:p w:rsidR="00D7645A" w:rsidP="00D7645A" w:rsidRDefault="00D7645A" w14:paraId="69D9211B" w14:textId="6F03393E">
      <w:pPr>
        <w:pStyle w:val="Texte"/>
      </w:pPr>
      <w:r>
        <w:t xml:space="preserve">I am still waiting for the payment of my salary for the </w:t>
      </w:r>
      <w:r>
        <w:rPr>
          <w:vertAlign w:val="superscript"/>
        </w:rPr>
        <w:t>2</w:t>
      </w:r>
      <w:r>
        <w:t xml:space="preserve"> month(s) of _____________________.</w:t>
      </w:r>
    </w:p>
    <w:p w:rsidR="00D7645A" w:rsidP="00D7645A" w:rsidRDefault="00D7645A" w14:paraId="49D7E592" w14:textId="77777777">
      <w:pPr>
        <w:pStyle w:val="Texte"/>
        <w:rPr>
          <w:b/>
        </w:rPr>
      </w:pPr>
      <w:r>
        <w:rPr>
          <w:b/>
        </w:rPr>
        <w:t>Choose one of the following two options:</w:t>
      </w:r>
    </w:p>
    <w:p w:rsidR="00D7645A" w:rsidP="00D7645A" w:rsidRDefault="00D7645A" w14:paraId="7A8EE6EE" w14:textId="534D4F25">
      <w:pPr>
        <w:pStyle w:val="Texte"/>
        <w:rPr>
          <w:i/>
        </w:rPr>
      </w:pPr>
      <w:r>
        <w:rPr>
          <w:i/>
        </w:rPr>
        <w:t xml:space="preserve">Under Article L.221-1 of the Labour Code, wages must be paid each month, at the latest on the last day of the relevant calendar month. </w:t>
      </w:r>
      <w:r>
        <w:rPr>
          <w:rStyle w:val="FootnoteReference"/>
        </w:rPr>
        <w:footnoteReference w:id="3"/>
      </w:r>
    </w:p>
    <w:p w:rsidR="00D7645A" w:rsidP="00D7645A" w:rsidRDefault="00D7645A" w14:paraId="573E30F2" w14:textId="77777777">
      <w:pPr>
        <w:pStyle w:val="Texte"/>
        <w:rPr>
          <w:b/>
          <w:i/>
        </w:rPr>
      </w:pPr>
      <w:r>
        <w:rPr>
          <w:b/>
          <w:i/>
        </w:rPr>
        <w:t>or</w:t>
      </w:r>
    </w:p>
    <w:p w:rsidR="00D7645A" w:rsidP="00D7645A" w:rsidRDefault="00D7645A" w14:paraId="07E890C1" w14:textId="538711EB">
      <w:pPr>
        <w:pStyle w:val="Texte"/>
        <w:rPr>
          <w:i/>
        </w:rPr>
      </w:pPr>
      <w:r>
        <w:rPr>
          <w:i/>
        </w:rPr>
        <w:t xml:space="preserve">Under Article L.125-7 of the Labour Code, when the employment contract is terminated, the salary slip must be </w:t>
      </w:r>
      <w:r w:rsidR="00AE68C5">
        <w:rPr>
          <w:i/>
        </w:rPr>
        <w:t>provided,</w:t>
      </w:r>
      <w:r>
        <w:rPr>
          <w:i/>
        </w:rPr>
        <w:t xml:space="preserve"> and outstanding salary amounts must be paid within five days </w:t>
      </w:r>
      <w:r>
        <w:rPr>
          <w:rStyle w:val="FootnoteReference"/>
        </w:rPr>
        <w:footnoteReference w:id="4"/>
      </w:r>
      <w:r>
        <w:rPr>
          <w:i/>
        </w:rPr>
        <w:t xml:space="preserve"> of the end of the contract.</w:t>
      </w:r>
    </w:p>
    <w:p w:rsidR="00D7645A" w:rsidP="00D7645A" w:rsidRDefault="00D7645A" w14:paraId="0005F19E" w14:textId="7536068D">
      <w:pPr>
        <w:pStyle w:val="Texte"/>
        <w:rPr>
          <w:rStyle w:val="LignesencoderChar"/>
        </w:rPr>
      </w:pPr>
      <w:r>
        <w:t>I therefore request you to pay the amount of</w:t>
      </w:r>
      <w:r>
        <w:rPr>
          <w:rStyle w:val="LignesencoderChar"/>
        </w:rPr>
        <w:t xml:space="preserve"> ________________________ euros within </w:t>
      </w:r>
      <w:r w:rsidR="00144D30">
        <w:rPr>
          <w:rStyle w:val="LignesencoderChar"/>
        </w:rPr>
        <w:t>8</w:t>
      </w:r>
      <w:r>
        <w:rPr>
          <w:rStyle w:val="LignesencoderChar"/>
        </w:rPr>
        <w:t xml:space="preserve"> days, by transfer to my account at ___________________, IBAN LU ____________________________.</w:t>
      </w:r>
    </w:p>
    <w:p w:rsidR="00D7645A" w:rsidP="00D7645A" w:rsidRDefault="00D7645A" w14:paraId="7F12E208" w14:textId="77777777">
      <w:pPr>
        <w:pStyle w:val="Texte"/>
      </w:pPr>
      <w:r>
        <w:t>Failing that, I will refer the matter to the Labour Tribunal without further notice.</w:t>
      </w:r>
    </w:p>
    <w:p w:rsidR="00D7645A" w:rsidP="00D7645A" w:rsidRDefault="00D7645A" w14:paraId="1276507C" w14:textId="77777777">
      <w:pPr>
        <w:pStyle w:val="Texte"/>
      </w:pPr>
      <w:r>
        <w:t>This notice, which is without prejudice to any rights, is equivalent to a notice of default resulting in the assessment of interest on the sum due at the legal rate as from the date of sending.</w:t>
      </w:r>
    </w:p>
    <w:p w:rsidR="00D7645A" w:rsidP="00D7645A" w:rsidRDefault="00D7645A" w14:paraId="5FFA64F6" w14:textId="3878BD39">
      <w:pPr>
        <w:pStyle w:val="Texte"/>
        <w:rPr>
          <w:i/>
        </w:rPr>
      </w:pPr>
      <w:r>
        <w:rPr>
          <w:i/>
        </w:rPr>
        <w:t>A copy of this letter shall be sent to ITM</w:t>
      </w:r>
      <w:r w:rsidRPr="000416E2" w:rsidR="000416E2">
        <w:rPr>
          <w:i/>
        </w:rPr>
        <w:t xml:space="preserve"> </w:t>
      </w:r>
      <w:r w:rsidR="000416E2">
        <w:rPr>
          <w:i/>
        </w:rPr>
        <w:t>for information</w:t>
      </w:r>
      <w:r>
        <w:rPr>
          <w:i/>
        </w:rPr>
        <w:t xml:space="preserve">. </w:t>
      </w:r>
      <w:r>
        <w:rPr>
          <w:rStyle w:val="FootnoteReference"/>
        </w:rPr>
        <w:footnoteReference w:id="5"/>
      </w:r>
    </w:p>
    <w:p w:rsidR="00D7645A" w:rsidP="001C142D" w:rsidRDefault="00D7645A" w14:paraId="3061A5F0" w14:textId="28AE0D57">
      <w:pPr>
        <w:pStyle w:val="Texte"/>
        <w:spacing w:before="480"/>
      </w:pPr>
      <w:r>
        <w:t>Yours sincerely,</w:t>
      </w:r>
    </w:p>
    <w:p w:rsidR="00D7645A" w:rsidP="00D7645A" w:rsidRDefault="00D7645A" w14:paraId="2D27A7E1" w14:textId="77777777">
      <w:pPr>
        <w:pStyle w:val="Blocsignature"/>
        <w:spacing w:before="840"/>
      </w:pPr>
      <w:r>
        <w:tab/>
      </w:r>
      <w:r>
        <w:t>________________</w:t>
      </w:r>
    </w:p>
    <w:p w:rsidR="006E2AFA" w:rsidP="00D7645A" w:rsidRDefault="00D7645A" w14:paraId="1200A099" w14:textId="1FD36CC0">
      <w:pPr>
        <w:pStyle w:val="Dnommssignatures"/>
        <w:tabs>
          <w:tab w:val="clear" w:pos="6804"/>
          <w:tab w:val="left" w:pos="7230"/>
        </w:tabs>
        <w:spacing w:after="0"/>
      </w:pPr>
      <w:r>
        <w:tab/>
      </w:r>
      <w:r>
        <w:t>(signature)</w:t>
      </w:r>
    </w:p>
    <w:sectPr w:rsidR="006E2AFA" w:rsidSect="009F0C3E">
      <w:footerReference w:type="default" r:id="rId11"/>
      <w:headerReference w:type="first" r:id="rId12"/>
      <w:pgSz w:w="11906" w:h="16838" w:orient="portrait"/>
      <w:pgMar w:top="1440" w:right="1440" w:bottom="993" w:left="1440" w:header="708" w:footer="708" w:gutter="0"/>
      <w:cols w:space="708"/>
      <w:titlePg/>
      <w:docGrid w:linePitch="360"/>
      <w:headerReference w:type="default" r:id="R7254295dd8174a22"/>
      <w:footerReference w:type="first" r:id="R53a7b8b9cc304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C19" w:rsidP="00D7645A" w:rsidRDefault="00A01C19" w14:paraId="795D5BDA" w14:textId="77777777">
      <w:pPr>
        <w:spacing w:after="0" w:line="240" w:lineRule="auto"/>
      </w:pPr>
      <w:r>
        <w:separator/>
      </w:r>
    </w:p>
  </w:endnote>
  <w:endnote w:type="continuationSeparator" w:id="0">
    <w:p w:rsidR="00A01C19" w:rsidP="00D7645A" w:rsidRDefault="00A01C19" w14:paraId="59CDB8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19" w:rsidP="00EF1C19" w:rsidRDefault="00EF1C19" w14:paraId="4B4F1334" w14:textId="77777777">
    <w:pPr>
      <w:pStyle w:val="Footnote"/>
      <w:rPr>
        <w:u w:val="single"/>
      </w:rPr>
    </w:pPr>
  </w:p>
  <w:p w:rsidR="00EF1C19" w:rsidP="00EF1C19" w:rsidRDefault="00EF1C19" w14:paraId="2EECCFD3" w14:textId="77777777">
    <w:pPr>
      <w:pStyle w:val="Footnote"/>
      <w:rPr>
        <w:u w:val="single"/>
      </w:rPr>
    </w:pPr>
  </w:p>
  <w:p w:rsidRPr="00003ED3" w:rsidR="48B530F5" w:rsidP="00EF1C19" w:rsidRDefault="00003ED3" w14:paraId="5A2871CD" w14:textId="33A07D1F">
    <w:pPr>
      <w:pStyle w:val="Footnote"/>
    </w:pPr>
    <w:r w:rsidRPr="00507991">
      <w:rPr>
        <w:u w:val="single"/>
      </w:rPr>
      <w:t>Note</w:t>
    </w:r>
    <w:r w:rsidRPr="00507991">
      <w:t>:</w:t>
    </w:r>
    <w:r>
      <w:t xml:space="preserve"> </w:t>
    </w:r>
    <w:r w:rsidRPr="004B40E2">
      <w:t>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CCB1B76" w:rsidTr="0CCB1B76" w14:paraId="707CBB19">
      <w:trPr>
        <w:trHeight w:val="300"/>
      </w:trPr>
      <w:tc>
        <w:tcPr>
          <w:tcW w:w="3005" w:type="dxa"/>
          <w:tcMar/>
        </w:tcPr>
        <w:p w:rsidR="0CCB1B76" w:rsidP="0CCB1B76" w:rsidRDefault="0CCB1B76" w14:paraId="363C31B1" w14:textId="15614169">
          <w:pPr>
            <w:pStyle w:val="Header"/>
            <w:bidi w:val="0"/>
            <w:ind w:left="-115"/>
            <w:jc w:val="left"/>
          </w:pPr>
        </w:p>
      </w:tc>
      <w:tc>
        <w:tcPr>
          <w:tcW w:w="3005" w:type="dxa"/>
          <w:tcMar/>
        </w:tcPr>
        <w:p w:rsidR="0CCB1B76" w:rsidP="0CCB1B76" w:rsidRDefault="0CCB1B76" w14:paraId="73AB68A3" w14:textId="52FF9027">
          <w:pPr>
            <w:pStyle w:val="Header"/>
            <w:bidi w:val="0"/>
            <w:jc w:val="center"/>
          </w:pPr>
        </w:p>
      </w:tc>
      <w:tc>
        <w:tcPr>
          <w:tcW w:w="3005" w:type="dxa"/>
          <w:tcMar/>
        </w:tcPr>
        <w:p w:rsidR="0CCB1B76" w:rsidP="0CCB1B76" w:rsidRDefault="0CCB1B76" w14:paraId="0931ECEE" w14:textId="22FEF66E">
          <w:pPr>
            <w:pStyle w:val="Header"/>
            <w:bidi w:val="0"/>
            <w:ind w:right="-115"/>
            <w:jc w:val="right"/>
          </w:pPr>
        </w:p>
      </w:tc>
    </w:tr>
  </w:tbl>
  <w:p w:rsidR="0CCB1B76" w:rsidP="0CCB1B76" w:rsidRDefault="0CCB1B76" w14:paraId="2D860F4B" w14:textId="5FE3DF6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C19" w:rsidP="00D7645A" w:rsidRDefault="00A01C19" w14:paraId="241133DF" w14:textId="77777777">
      <w:pPr>
        <w:spacing w:after="0" w:line="240" w:lineRule="auto"/>
      </w:pPr>
      <w:r>
        <w:separator/>
      </w:r>
    </w:p>
  </w:footnote>
  <w:footnote w:type="continuationSeparator" w:id="0">
    <w:p w:rsidR="00A01C19" w:rsidP="00D7645A" w:rsidRDefault="00A01C19" w14:paraId="66F7C180" w14:textId="77777777">
      <w:pPr>
        <w:spacing w:after="0" w:line="240" w:lineRule="auto"/>
      </w:pPr>
      <w:r>
        <w:continuationSeparator/>
      </w:r>
    </w:p>
  </w:footnote>
  <w:footnote w:id="1">
    <w:p w:rsidRPr="00D7645A" w:rsidR="00D7645A" w:rsidP="00D7645A" w:rsidRDefault="00D7645A" w14:paraId="084526FA" w14:textId="77777777">
      <w:pPr>
        <w:pStyle w:val="Footnote"/>
      </w:pPr>
      <w:r w:rsidRPr="00D7645A">
        <w:rPr>
          <w:rStyle w:val="FootnoteReference"/>
          <w:vertAlign w:val="baseline"/>
        </w:rPr>
        <w:footnoteRef/>
      </w:r>
      <w:r w:rsidRPr="00D7645A">
        <w:t xml:space="preserve"> Or any other amount that an employer owes to the employee: compensation for holidays, severance pay, compensation in lieu of notice, etc.</w:t>
      </w:r>
    </w:p>
  </w:footnote>
  <w:footnote w:id="2">
    <w:p w:rsidRPr="00D7645A" w:rsidR="00D7645A" w:rsidP="00D7645A" w:rsidRDefault="00D7645A" w14:paraId="5FF4EBA2" w14:textId="77777777">
      <w:pPr>
        <w:pStyle w:val="Footnote"/>
      </w:pPr>
      <w:r w:rsidRPr="00D7645A">
        <w:rPr>
          <w:rStyle w:val="FootnoteReference"/>
          <w:vertAlign w:val="baseline"/>
        </w:rPr>
        <w:footnoteRef/>
      </w:r>
      <w:r w:rsidRPr="00D7645A">
        <w:t xml:space="preserve"> Unnecessary wording should be deleted. </w:t>
      </w:r>
    </w:p>
  </w:footnote>
  <w:footnote w:id="3">
    <w:p w:rsidRPr="00D7645A" w:rsidR="00D7645A" w:rsidP="00D7645A" w:rsidRDefault="00D7645A" w14:paraId="52008323" w14:textId="77777777">
      <w:pPr>
        <w:pStyle w:val="Footnote"/>
      </w:pPr>
      <w:r w:rsidRPr="00D7645A">
        <w:rPr>
          <w:rStyle w:val="FootnoteReference"/>
          <w:vertAlign w:val="baseline"/>
        </w:rPr>
        <w:footnoteRef/>
      </w:r>
      <w:r w:rsidRPr="00D7645A">
        <w:t xml:space="preserve"> In case of non-payment of wages during the performance of the employment contract.</w:t>
      </w:r>
    </w:p>
  </w:footnote>
  <w:footnote w:id="4">
    <w:p w:rsidRPr="00D7645A" w:rsidR="00D7645A" w:rsidP="00D7645A" w:rsidRDefault="00D7645A" w14:paraId="78B3B505" w14:textId="77777777">
      <w:pPr>
        <w:pStyle w:val="Footnote"/>
      </w:pPr>
      <w:r w:rsidRPr="00D7645A">
        <w:rPr>
          <w:rStyle w:val="FootnoteReference"/>
          <w:vertAlign w:val="baseline"/>
        </w:rPr>
        <w:footnoteRef/>
      </w:r>
      <w:r w:rsidRPr="00D7645A">
        <w:t xml:space="preserve"> In</w:t>
      </w:r>
      <w:r w:rsidRPr="00D7645A">
        <w:rPr>
          <w:rStyle w:val="FootnoteReference"/>
          <w:vertAlign w:val="baseline"/>
        </w:rPr>
        <w:t xml:space="preserve"> case</w:t>
      </w:r>
      <w:r w:rsidRPr="00D7645A">
        <w:t xml:space="preserve"> of non-payment of wages following termination of the employment contract. </w:t>
      </w:r>
    </w:p>
  </w:footnote>
  <w:footnote w:id="5">
    <w:p w:rsidRPr="00003ED3" w:rsidR="00507991" w:rsidP="00003ED3" w:rsidRDefault="00D7645A" w14:paraId="4A09B031" w14:textId="5EA320E9">
      <w:pPr>
        <w:pStyle w:val="Footnote"/>
      </w:pPr>
      <w:r w:rsidRPr="00D7645A">
        <w:rPr>
          <w:rStyle w:val="FootnoteReference"/>
          <w:vertAlign w:val="baseline"/>
        </w:rPr>
        <w:footnoteRef/>
      </w:r>
      <w:r w:rsidRPr="00D7645A">
        <w:t xml:space="preserv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6E8AF98" w:rsidP="46E8AF98" w:rsidRDefault="46E8AF98" w14:paraId="7872CB32" w14:textId="7BF42341">
    <w:pPr>
      <w:pStyle w:val="Footnote"/>
      <w:spacing w:after="0" w:line="240" w:lineRule="auto"/>
      <w:jc w:val="both"/>
      <w:rPr>
        <w:noProof w:val="0"/>
        <w:lang w:val="fr-LU"/>
      </w:rPr>
    </w:pPr>
    <w:r w:rsidRPr="46E8AF98" w:rsidR="46E8AF98">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CCB1B76" w:rsidTr="0CCB1B76" w14:paraId="6130FC2A">
      <w:trPr>
        <w:trHeight w:val="300"/>
      </w:trPr>
      <w:tc>
        <w:tcPr>
          <w:tcW w:w="3005" w:type="dxa"/>
          <w:tcMar/>
        </w:tcPr>
        <w:p w:rsidR="0CCB1B76" w:rsidP="0CCB1B76" w:rsidRDefault="0CCB1B76" w14:paraId="055360E7" w14:textId="5614729C">
          <w:pPr>
            <w:pStyle w:val="Header"/>
            <w:bidi w:val="0"/>
            <w:ind w:left="-115"/>
            <w:jc w:val="left"/>
          </w:pPr>
        </w:p>
      </w:tc>
      <w:tc>
        <w:tcPr>
          <w:tcW w:w="3005" w:type="dxa"/>
          <w:tcMar/>
        </w:tcPr>
        <w:p w:rsidR="0CCB1B76" w:rsidP="0CCB1B76" w:rsidRDefault="0CCB1B76" w14:paraId="6D0188D8" w14:textId="25F70070">
          <w:pPr>
            <w:pStyle w:val="Header"/>
            <w:bidi w:val="0"/>
            <w:jc w:val="center"/>
          </w:pPr>
        </w:p>
      </w:tc>
      <w:tc>
        <w:tcPr>
          <w:tcW w:w="3005" w:type="dxa"/>
          <w:tcMar/>
        </w:tcPr>
        <w:p w:rsidR="0CCB1B76" w:rsidP="0CCB1B76" w:rsidRDefault="0CCB1B76" w14:paraId="349B9C63" w14:textId="4247AAF4">
          <w:pPr>
            <w:pStyle w:val="Header"/>
            <w:bidi w:val="0"/>
            <w:ind w:right="-115"/>
            <w:jc w:val="right"/>
          </w:pPr>
        </w:p>
      </w:tc>
    </w:tr>
  </w:tbl>
  <w:p w:rsidR="0CCB1B76" w:rsidP="0CCB1B76" w:rsidRDefault="0CCB1B76" w14:paraId="49C9B724" w14:textId="014413A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988779429">
    <w:abstractNumId w:val="1"/>
  </w:num>
  <w:num w:numId="2" w16cid:durableId="136807056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5A"/>
    <w:rsid w:val="00003ED3"/>
    <w:rsid w:val="00013D47"/>
    <w:rsid w:val="000416E2"/>
    <w:rsid w:val="000B56E4"/>
    <w:rsid w:val="00144D30"/>
    <w:rsid w:val="00196AF2"/>
    <w:rsid w:val="001C142D"/>
    <w:rsid w:val="0045413D"/>
    <w:rsid w:val="00495ADB"/>
    <w:rsid w:val="0050034F"/>
    <w:rsid w:val="00507991"/>
    <w:rsid w:val="00653D7E"/>
    <w:rsid w:val="006E2AFA"/>
    <w:rsid w:val="00724354"/>
    <w:rsid w:val="00763753"/>
    <w:rsid w:val="00876447"/>
    <w:rsid w:val="00883B5A"/>
    <w:rsid w:val="00963239"/>
    <w:rsid w:val="009F0C3E"/>
    <w:rsid w:val="00A01C19"/>
    <w:rsid w:val="00A17F6E"/>
    <w:rsid w:val="00A233A1"/>
    <w:rsid w:val="00AE68C5"/>
    <w:rsid w:val="00B1464D"/>
    <w:rsid w:val="00BC0C80"/>
    <w:rsid w:val="00D42AF5"/>
    <w:rsid w:val="00D55BD2"/>
    <w:rsid w:val="00D704E0"/>
    <w:rsid w:val="00D7645A"/>
    <w:rsid w:val="00E3358F"/>
    <w:rsid w:val="00EC4FF4"/>
    <w:rsid w:val="00EF1C19"/>
    <w:rsid w:val="00F13EB8"/>
    <w:rsid w:val="00F45680"/>
    <w:rsid w:val="00F60A55"/>
    <w:rsid w:val="00FC2EFB"/>
    <w:rsid w:val="0CCB1B76"/>
    <w:rsid w:val="46E8AF98"/>
    <w:rsid w:val="48B530F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94C6"/>
  <w15:chartTrackingRefBased/>
  <w15:docId w15:val="{C89D1E94-AF27-48C5-BEF8-613F68377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7645A"/>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D7645A"/>
    <w:rPr>
      <w:vertAlign w:val="superscript"/>
    </w:rPr>
  </w:style>
  <w:style w:type="paragraph" w:styleId="Texte" w:customStyle="1">
    <w:name w:val="Texte"/>
    <w:basedOn w:val="Normal"/>
    <w:link w:val="TexteChar"/>
    <w:qFormat/>
    <w:rsid w:val="00D7645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D7645A"/>
    <w:rPr>
      <w:rFonts w:ascii="Verdana" w:hAnsi="Verdana"/>
      <w:sz w:val="18"/>
      <w:szCs w:val="18"/>
      <w:lang w:val="en-GB"/>
    </w:rPr>
  </w:style>
  <w:style w:type="paragraph" w:styleId="Lignesencoder" w:customStyle="1">
    <w:name w:val="Lignes à encoder"/>
    <w:basedOn w:val="Normal"/>
    <w:link w:val="LignesencoderChar"/>
    <w:qFormat/>
    <w:rsid w:val="00D7645A"/>
    <w:pPr>
      <w:spacing w:before="120" w:after="120" w:line="480" w:lineRule="auto"/>
      <w:jc w:val="both"/>
    </w:pPr>
    <w:rPr>
      <w:rFonts w:ascii="Verdana" w:hAnsi="Verdana"/>
      <w:sz w:val="18"/>
      <w:szCs w:val="18"/>
    </w:rPr>
  </w:style>
  <w:style w:type="character" w:styleId="LignesencoderChar" w:customStyle="1">
    <w:name w:val="Lignes à encoder Char"/>
    <w:basedOn w:val="DefaultParagraphFont"/>
    <w:link w:val="Lignesencoder"/>
    <w:rsid w:val="00D7645A"/>
    <w:rPr>
      <w:rFonts w:ascii="Verdana" w:hAnsi="Verdana"/>
      <w:sz w:val="18"/>
      <w:szCs w:val="18"/>
      <w:lang w:val="en-GB"/>
    </w:rPr>
  </w:style>
  <w:style w:type="paragraph" w:styleId="Footnote" w:customStyle="1">
    <w:name w:val="Footnote"/>
    <w:basedOn w:val="Normal"/>
    <w:link w:val="FootnoteChar"/>
    <w:qFormat/>
    <w:rsid w:val="00D7645A"/>
    <w:pPr>
      <w:spacing w:after="0" w:line="240" w:lineRule="auto"/>
      <w:contextualSpacing/>
      <w:jc w:val="both"/>
    </w:pPr>
    <w:rPr>
      <w:rFonts w:ascii="Verdana" w:hAnsi="Verdana"/>
      <w:i/>
      <w:sz w:val="14"/>
      <w:szCs w:val="14"/>
    </w:rPr>
  </w:style>
  <w:style w:type="paragraph" w:styleId="Blocsignature" w:customStyle="1">
    <w:name w:val="Bloc signature"/>
    <w:basedOn w:val="Normal"/>
    <w:link w:val="BlocsignatureChar"/>
    <w:qFormat/>
    <w:rsid w:val="00D7645A"/>
    <w:pPr>
      <w:tabs>
        <w:tab w:val="left" w:pos="6804"/>
      </w:tabs>
      <w:spacing w:before="480" w:line="240" w:lineRule="auto"/>
      <w:jc w:val="both"/>
    </w:pPr>
    <w:rPr>
      <w:rFonts w:ascii="Verdana" w:hAnsi="Verdana"/>
      <w:sz w:val="18"/>
      <w:szCs w:val="18"/>
    </w:rPr>
  </w:style>
  <w:style w:type="character" w:styleId="FootnoteChar" w:customStyle="1">
    <w:name w:val="Footnote Char"/>
    <w:basedOn w:val="DefaultParagraphFont"/>
    <w:link w:val="Footnote"/>
    <w:rsid w:val="00D7645A"/>
    <w:rPr>
      <w:rFonts w:ascii="Verdana" w:hAnsi="Verdana"/>
      <w:i/>
      <w:sz w:val="14"/>
      <w:szCs w:val="14"/>
      <w:lang w:val="en-GB"/>
    </w:rPr>
  </w:style>
  <w:style w:type="paragraph" w:styleId="Dnommssignatures" w:customStyle="1">
    <w:name w:val="Dénommés signatures"/>
    <w:basedOn w:val="Blocsignature"/>
    <w:link w:val="DnommssignaturesChar"/>
    <w:qFormat/>
    <w:rsid w:val="00D7645A"/>
    <w:pPr>
      <w:spacing w:before="60"/>
    </w:pPr>
  </w:style>
  <w:style w:type="character" w:styleId="BlocsignatureChar" w:customStyle="1">
    <w:name w:val="Bloc signature Char"/>
    <w:basedOn w:val="DefaultParagraphFont"/>
    <w:link w:val="Blocsignature"/>
    <w:rsid w:val="00D7645A"/>
    <w:rPr>
      <w:rFonts w:ascii="Verdana" w:hAnsi="Verdana"/>
      <w:sz w:val="18"/>
      <w:szCs w:val="18"/>
      <w:lang w:val="en-GB"/>
    </w:rPr>
  </w:style>
  <w:style w:type="character" w:styleId="DnommssignaturesChar" w:customStyle="1">
    <w:name w:val="Dénommés signatures Char"/>
    <w:basedOn w:val="BlocsignatureChar"/>
    <w:link w:val="Dnommssignatures"/>
    <w:rsid w:val="00D7645A"/>
    <w:rPr>
      <w:rFonts w:ascii="Verdana" w:hAnsi="Verdana"/>
      <w:sz w:val="18"/>
      <w:szCs w:val="18"/>
      <w:lang w:val="en-GB"/>
    </w:rPr>
  </w:style>
  <w:style w:type="paragraph" w:styleId="TITRE1erpage" w:customStyle="1">
    <w:name w:val="TITRE 1er page"/>
    <w:basedOn w:val="Normal"/>
    <w:link w:val="TITRE1erpageChar"/>
    <w:qFormat/>
    <w:rsid w:val="00D7645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D7645A"/>
    <w:rPr>
      <w:rFonts w:ascii="Verdana" w:hAnsi="Verdana"/>
      <w:b/>
      <w:sz w:val="36"/>
      <w:szCs w:val="70"/>
      <w:lang w:val="en-GB"/>
    </w:rPr>
  </w:style>
  <w:style w:type="paragraph" w:styleId="ArticleetTitres2" w:customStyle="1">
    <w:name w:val="Article et Titres 2"/>
    <w:basedOn w:val="Normal"/>
    <w:next w:val="Texte"/>
    <w:link w:val="ArticleetTitres2Char"/>
    <w:qFormat/>
    <w:rsid w:val="00D7645A"/>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D7645A"/>
    <w:rPr>
      <w:rFonts w:ascii="Verdana" w:hAnsi="Verdana"/>
      <w:b/>
      <w:bCs/>
      <w:sz w:val="20"/>
      <w:szCs w:val="18"/>
      <w:lang w:val="en-GB"/>
    </w:rPr>
  </w:style>
  <w:style w:type="paragraph" w:styleId="Article" w:customStyle="1">
    <w:name w:val="Article"/>
    <w:basedOn w:val="Normal"/>
    <w:link w:val="ArticleChar"/>
    <w:qFormat/>
    <w:rsid w:val="00D7645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D7645A"/>
    <w:rPr>
      <w:rFonts w:ascii="Verdana" w:hAnsi="Verdana"/>
      <w:b/>
      <w:bCs/>
      <w:sz w:val="20"/>
      <w:szCs w:val="18"/>
      <w:lang w:val="en-GB"/>
    </w:rPr>
  </w:style>
  <w:style w:type="paragraph" w:styleId="Revision">
    <w:name w:val="Revision"/>
    <w:hidden/>
    <w:uiPriority w:val="99"/>
    <w:semiHidden/>
    <w:rsid w:val="000416E2"/>
    <w:pPr>
      <w:spacing w:after="0" w:line="240" w:lineRule="auto"/>
    </w:pPr>
    <w:rPr>
      <w:lang w:val="en-GB"/>
    </w:rPr>
  </w:style>
  <w:style w:type="paragraph" w:styleId="Header">
    <w:name w:val="header"/>
    <w:basedOn w:val="Normal"/>
    <w:uiPriority w:val="99"/>
    <w:unhideWhenUsed/>
    <w:rsid w:val="48B530F5"/>
    <w:pPr>
      <w:tabs>
        <w:tab w:val="center" w:pos="4680"/>
        <w:tab w:val="right" w:pos="9360"/>
      </w:tabs>
      <w:spacing w:after="0" w:line="240" w:lineRule="auto"/>
    </w:pPr>
  </w:style>
  <w:style w:type="paragraph" w:styleId="Footer">
    <w:name w:val="footer"/>
    <w:basedOn w:val="Normal"/>
    <w:uiPriority w:val="99"/>
    <w:unhideWhenUsed/>
    <w:rsid w:val="48B530F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7254295dd8174a22" /><Relationship Type="http://schemas.openxmlformats.org/officeDocument/2006/relationships/footer" Target="footer2.xml" Id="R53a7b8b9cc3042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F230B-9F31-451A-9ED5-C9D53E5213BD}">
  <ds:schemaRefs>
    <ds:schemaRef ds:uri="http://schemas.openxmlformats.org/officeDocument/2006/bibliography"/>
  </ds:schemaRefs>
</ds:datastoreItem>
</file>

<file path=customXml/itemProps2.xml><?xml version="1.0" encoding="utf-8"?>
<ds:datastoreItem xmlns:ds="http://schemas.openxmlformats.org/officeDocument/2006/customXml" ds:itemID="{D11FF219-DBFC-4525-BD95-ADBE86C9E77B}">
  <ds:schemaRefs>
    <ds:schemaRef ds:uri="http://schemas.microsoft.com/sharepoint/v3/contenttype/forms"/>
  </ds:schemaRefs>
</ds:datastoreItem>
</file>

<file path=customXml/itemProps3.xml><?xml version="1.0" encoding="utf-8"?>
<ds:datastoreItem xmlns:ds="http://schemas.openxmlformats.org/officeDocument/2006/customXml" ds:itemID="{5AEFC21B-AA97-4187-9FD9-A8290953C4C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FC5D26EB-939D-4F64-8830-1FC2A2C450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16</cp:revision>
  <dcterms:created xsi:type="dcterms:W3CDTF">2024-08-06T00:05:00Z</dcterms:created>
  <dcterms:modified xsi:type="dcterms:W3CDTF">2026-05-11T14:04:23Z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2025-07-10T07:53:58Z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6ee20e1d-2e47-499a-8a61-d211f7a07f00</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