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303F" w:rsidR="00022CA9" w:rsidP="00602CCA" w:rsidRDefault="007827EA" w14:paraId="014AFFEE" w14:textId="7ED39411">
      <w:pPr>
        <w:pStyle w:val="TITRE1erpage"/>
        <w:rPr>
          <w:lang w:val="de-DE"/>
        </w:rPr>
      </w:pPr>
      <w:r w:rsidRPr="008F303F">
        <w:rPr>
          <w:lang w:val="de-DE"/>
        </w:rPr>
        <w:t xml:space="preserve">MT 6 – </w:t>
      </w:r>
      <w:r w:rsidRPr="008F303F" w:rsidR="00602CCA">
        <w:rPr>
          <w:lang w:val="de-DE"/>
        </w:rPr>
        <w:br/>
      </w:r>
      <w:r w:rsidRPr="008F303F" w:rsidR="008F303F">
        <w:rPr>
          <w:lang w:val="de-DE"/>
        </w:rPr>
        <w:t xml:space="preserve">Anfrage nach der Begründung für </w:t>
      </w:r>
      <w:r w:rsidR="008F303F">
        <w:rPr>
          <w:lang w:val="de-DE"/>
        </w:rPr>
        <w:br/>
      </w:r>
      <w:r w:rsidRPr="008F303F" w:rsidR="008F303F">
        <w:rPr>
          <w:lang w:val="de-DE"/>
        </w:rPr>
        <w:t>eine Änderung des Arbeitsvertrages</w:t>
      </w:r>
    </w:p>
    <w:p w:rsidRPr="00022CA9" w:rsidR="00022CA9" w:rsidP="00022CA9" w:rsidRDefault="00022CA9" w14:paraId="354903EF" w14:textId="77777777">
      <w:pPr>
        <w:jc w:val="both"/>
        <w:rPr>
          <w:rFonts w:ascii="Verdana" w:hAnsi="Verdana"/>
          <w:sz w:val="2"/>
          <w:szCs w:val="20"/>
          <w:lang w:val="de-CH"/>
        </w:rPr>
      </w:pPr>
    </w:p>
    <w:p w:rsidRPr="00602CCA" w:rsidR="00022CA9" w:rsidP="00602CCA" w:rsidRDefault="00022CA9" w14:paraId="4D28C3B0" w14:textId="77777777">
      <w:pPr>
        <w:spacing w:after="240" w:line="240" w:lineRule="auto"/>
        <w:jc w:val="both"/>
        <w:rPr>
          <w:rFonts w:ascii="Verdana" w:hAnsi="Verdana"/>
          <w:sz w:val="18"/>
          <w:szCs w:val="18"/>
          <w:lang w:val="de-CH"/>
        </w:rPr>
      </w:pPr>
      <w:r w:rsidRPr="00602CCA">
        <w:rPr>
          <w:rFonts w:ascii="Verdana" w:hAnsi="Verdana"/>
          <w:sz w:val="18"/>
          <w:szCs w:val="18"/>
          <w:lang w:val="de-CH"/>
        </w:rPr>
        <w:t xml:space="preserve">Um die Arbeitsbedingungen zum Nachteil des Arbeitnehmers zu ändern, muss der Arbeitgeber ein besonderes Verfahren einhalten, sofern diese Änderung eine als wesentlich erachtete Klausel des Arbeitsvertrages betrifft. </w:t>
      </w:r>
    </w:p>
    <w:p w:rsidRPr="007827EA" w:rsidR="00022CA9" w:rsidP="00602CCA" w:rsidRDefault="00022CA9" w14:paraId="2FE81071" w14:textId="77777777">
      <w:pPr>
        <w:pStyle w:val="Texte"/>
        <w:rPr>
          <w:lang w:val="de-CH"/>
        </w:rPr>
      </w:pPr>
      <w:r w:rsidRPr="007827EA">
        <w:rPr>
          <w:lang w:val="de-CH"/>
        </w:rPr>
        <w:t xml:space="preserve">Die Vollmitglieder und Stellvertreter der Personaldelegationen dürfen ebenso wie der Sicherheits- und Gesundheitsdelegierte während der Dauer ihres Mandats nicht Gegenstand einer Änderung einer wesentlichen Klausel ihres Arbeitsvertrages werden. </w:t>
      </w:r>
    </w:p>
    <w:p w:rsidRPr="007827EA" w:rsidR="00022CA9" w:rsidP="00602CCA" w:rsidRDefault="00022CA9" w14:paraId="74CB8495" w14:textId="77777777">
      <w:pPr>
        <w:pStyle w:val="Texte"/>
        <w:rPr>
          <w:lang w:val="de-CH"/>
        </w:rPr>
      </w:pPr>
      <w:r w:rsidRPr="007827EA">
        <w:rPr>
          <w:lang w:val="de-CH"/>
        </w:rPr>
        <w:t xml:space="preserve">Die betroffenen Delegierten können gegebenenfalls beim Präsidenten des Arbeitsgerichts die Einstellung der einseitigen Änderung ihres Arbeitsvertrages beantragen. </w:t>
      </w:r>
    </w:p>
    <w:p w:rsidRPr="008F303F" w:rsidR="00022CA9" w:rsidP="00602CCA" w:rsidRDefault="00022CA9" w14:paraId="3EAA378C" w14:textId="77777777">
      <w:pPr>
        <w:pStyle w:val="ArticleetTitres2"/>
        <w:numPr>
          <w:ilvl w:val="1"/>
          <w:numId w:val="0"/>
        </w:numPr>
        <w:rPr>
          <w:lang w:val="de-DE"/>
        </w:rPr>
      </w:pPr>
      <w:r w:rsidRPr="008F303F">
        <w:rPr>
          <w:lang w:val="de-DE"/>
        </w:rPr>
        <w:t xml:space="preserve">Was ist unter der Änderung eines wesentlichen Bestandteils des Arbeitsvertrages zu verstehen? </w:t>
      </w:r>
    </w:p>
    <w:p w:rsidRPr="008F303F" w:rsidR="00022CA9" w:rsidP="00602CCA" w:rsidRDefault="00022CA9" w14:paraId="2321D399" w14:textId="79094EAF">
      <w:pPr>
        <w:pStyle w:val="Texte"/>
        <w:rPr>
          <w:lang w:val="de-DE"/>
        </w:rPr>
      </w:pPr>
      <w:r w:rsidRPr="008F303F">
        <w:rPr>
          <w:lang w:val="de-DE"/>
        </w:rPr>
        <w:t xml:space="preserve">Um als wesentlich bezeichnet zu werden, muss die Änderung einen Vertragsbestandteil betreffen, der zum Zeitpunkt des Vertragsabschlusses seitens der Parteien als </w:t>
      </w:r>
      <w:r w:rsidRPr="008F303F" w:rsidR="00653FC8">
        <w:rPr>
          <w:lang w:val="de-DE"/>
        </w:rPr>
        <w:t>essenziell</w:t>
      </w:r>
      <w:r w:rsidRPr="008F303F">
        <w:rPr>
          <w:lang w:val="de-DE"/>
        </w:rPr>
        <w:t xml:space="preserve"> erachtet wurde, d.h. einen Bestandteil, der sie zur Einwilligung in den Vertragsabschluss bewogen hat. </w:t>
      </w:r>
    </w:p>
    <w:p w:rsidRPr="008F303F" w:rsidR="00022CA9" w:rsidP="00602CCA" w:rsidRDefault="00022CA9" w14:paraId="63BF50F9" w14:textId="77777777">
      <w:pPr>
        <w:pStyle w:val="Texte"/>
        <w:rPr>
          <w:lang w:val="de-DE"/>
        </w:rPr>
      </w:pPr>
      <w:r w:rsidRPr="008F303F">
        <w:rPr>
          <w:lang w:val="de-DE"/>
        </w:rPr>
        <w:t xml:space="preserve">Die Änderung ist hingegen nur unwesentlich, wenn sie sich entweder auf einen Bestandteil des Arbeitsvertrages bezieht, der für den Willen der Vertragsparteien nicht ausschlaggebend war, oder wenn die Parteien von Anfang an die Möglichkeit einer späteren Änderung vorgesehen haben. In letzterem Fall muss sich der Arbeitnehmer der Änderung fügen. </w:t>
      </w:r>
    </w:p>
    <w:p w:rsidRPr="008F303F" w:rsidR="00022CA9" w:rsidP="00602CCA" w:rsidRDefault="00022CA9" w14:paraId="3D9249BB" w14:textId="77777777">
      <w:pPr>
        <w:pStyle w:val="Texte"/>
        <w:rPr>
          <w:lang w:val="de-DE"/>
        </w:rPr>
      </w:pPr>
      <w:r w:rsidRPr="008F303F">
        <w:rPr>
          <w:lang w:val="de-DE"/>
        </w:rPr>
        <w:t xml:space="preserve">Im Allgemeinen sind die nachstehenden Änderungen als wesentlich zu betrachten und unterliegen folglich dem gesetzlich vorgesehenen Verfahren: </w:t>
      </w:r>
    </w:p>
    <w:p w:rsidRPr="00602CCA" w:rsidR="00022CA9" w:rsidP="00602CCA" w:rsidRDefault="00022CA9" w14:paraId="30236CA4" w14:textId="77777777">
      <w:pPr>
        <w:pStyle w:val="Texte"/>
        <w:numPr>
          <w:ilvl w:val="0"/>
          <w:numId w:val="5"/>
        </w:numPr>
      </w:pPr>
      <w:proofErr w:type="spellStart"/>
      <w:r w:rsidRPr="00602CCA">
        <w:t>Lohnbeeinträchtigungen</w:t>
      </w:r>
      <w:proofErr w:type="spellEnd"/>
      <w:r w:rsidRPr="00602CCA">
        <w:t>:</w:t>
      </w:r>
    </w:p>
    <w:p w:rsidRPr="008F303F" w:rsidR="00022CA9" w:rsidP="00602CCA" w:rsidRDefault="00022CA9" w14:paraId="5A0BA405" w14:textId="77777777">
      <w:pPr>
        <w:pStyle w:val="Texte"/>
        <w:ind w:left="708"/>
        <w:rPr>
          <w:lang w:val="de-DE"/>
        </w:rPr>
      </w:pPr>
      <w:r w:rsidRPr="008F303F">
        <w:rPr>
          <w:lang w:val="de-DE"/>
        </w:rPr>
        <w:t xml:space="preserve">Jedwede Beeinträchtigung des Grundlohns und der Lohnzusatzleistungen wird als wesentlich erachtet und muss unter Einhaltung des gesetzlich vorgesehenen Verfahrens erfolgen. </w:t>
      </w:r>
    </w:p>
    <w:p w:rsidRPr="008F303F" w:rsidR="00022CA9" w:rsidP="00602CCA" w:rsidRDefault="00022CA9" w14:paraId="0BA048DC" w14:textId="77777777">
      <w:pPr>
        <w:pStyle w:val="Texte"/>
        <w:ind w:left="708"/>
        <w:rPr>
          <w:lang w:val="de-DE"/>
        </w:rPr>
      </w:pPr>
      <w:r w:rsidRPr="008F303F">
        <w:rPr>
          <w:lang w:val="de-DE"/>
        </w:rPr>
        <w:t xml:space="preserve">Eine Änderung der Berechnungsart des Lohns stellt jedoch nicht unbedingt eine wesentliche Änderung dar, vorausgesetzt, die Höhe des Lohns wird beibehalten und die neue Berechnungsmethode erweist sich für den Arbeitnehmer als vorteilhaft. </w:t>
      </w:r>
    </w:p>
    <w:p w:rsidRPr="008F303F" w:rsidR="00022CA9" w:rsidP="00602CCA" w:rsidRDefault="00022CA9" w14:paraId="1F17C8C3" w14:textId="77777777">
      <w:pPr>
        <w:pStyle w:val="Texte"/>
        <w:numPr>
          <w:ilvl w:val="0"/>
          <w:numId w:val="5"/>
        </w:numPr>
        <w:rPr>
          <w:lang w:val="de-DE"/>
        </w:rPr>
      </w:pPr>
      <w:r w:rsidRPr="008F303F">
        <w:rPr>
          <w:lang w:val="de-DE"/>
        </w:rPr>
        <w:t xml:space="preserve">Beeinträchtigungen in Bezug auf die Qualifizierung: </w:t>
      </w:r>
    </w:p>
    <w:p w:rsidRPr="008F303F" w:rsidR="00022CA9" w:rsidP="00602CCA" w:rsidRDefault="00022CA9" w14:paraId="6E7D9417" w14:textId="77777777">
      <w:pPr>
        <w:pStyle w:val="Texte"/>
        <w:ind w:left="708"/>
        <w:rPr>
          <w:lang w:val="de-DE"/>
        </w:rPr>
      </w:pPr>
      <w:r w:rsidRPr="008F303F">
        <w:rPr>
          <w:lang w:val="de-DE"/>
        </w:rPr>
        <w:t xml:space="preserve">Die Herabstufung des Arbeitnehmers, d.h. die Zuweisung von Aufgaben, die einer geringeren Qualifizierung entsprechen, stellt selbst bei Aufrechterhaltung der Höhe des Lohns eine wesentliche Änderung dar. </w:t>
      </w:r>
    </w:p>
    <w:p w:rsidRPr="008F303F" w:rsidR="00022CA9" w:rsidP="00602CCA" w:rsidRDefault="00022CA9" w14:paraId="62A7197C" w14:textId="77777777">
      <w:pPr>
        <w:pStyle w:val="Texte"/>
        <w:ind w:left="708"/>
        <w:rPr>
          <w:lang w:val="de-DE"/>
        </w:rPr>
      </w:pPr>
      <w:r w:rsidRPr="008F303F">
        <w:rPr>
          <w:lang w:val="de-DE"/>
        </w:rPr>
        <w:t xml:space="preserve">Durch eine einfache Versetzung von einem Posten auf einen anderen oder von einer Abteilung in eine andere ohne Beeinträchtigung des Lohns und der Qualifizierung wird das gesetzlich vorgesehene Verfahren jedoch nicht ausgelöst. </w:t>
      </w:r>
    </w:p>
    <w:p w:rsidR="00022CA9" w:rsidP="00687CC3" w:rsidRDefault="00022CA9" w14:paraId="3F898FE0" w14:textId="56DDF9A4">
      <w:pPr>
        <w:pStyle w:val="Texte"/>
        <w:numPr>
          <w:ilvl w:val="0"/>
          <w:numId w:val="5"/>
        </w:numPr>
        <w:rPr>
          <w:lang w:val="de-DE"/>
        </w:rPr>
      </w:pPr>
      <w:r w:rsidRPr="008F303F">
        <w:rPr>
          <w:lang w:val="de-DE"/>
        </w:rPr>
        <w:t xml:space="preserve">Der Wechsel des Arbeitsortes ist gegebenenfalls ebenfalls als wesentliche Klausel eines Arbeitsvertrages zu betrachten und erfordert folglich die Einhaltung des gesetzlich vorgesehenen Verfahrens. Sofern der Arbeitsvertrag jedoch eine Mobilitätsklausel enthält, spricht man nicht von einer wesentlichen Änderung. </w:t>
      </w:r>
    </w:p>
    <w:p w:rsidR="004A0747" w:rsidP="00602CCA" w:rsidRDefault="004A0747" w14:paraId="1CBEEFFB" w14:textId="64093D22">
      <w:pPr>
        <w:pStyle w:val="Texte"/>
        <w:ind w:left="708"/>
        <w:rPr>
          <w:lang w:val="de-DE"/>
        </w:rPr>
      </w:pPr>
    </w:p>
    <w:p w:rsidRPr="008F303F" w:rsidR="004A0747" w:rsidP="00602CCA" w:rsidRDefault="004A0747" w14:paraId="517B3018" w14:textId="77777777">
      <w:pPr>
        <w:pStyle w:val="Texte"/>
        <w:ind w:left="708"/>
        <w:rPr>
          <w:lang w:val="de-DE"/>
        </w:rPr>
      </w:pPr>
    </w:p>
    <w:p w:rsidRPr="00602CCA" w:rsidR="00022CA9" w:rsidP="00602CCA" w:rsidRDefault="00022CA9" w14:paraId="1B615872" w14:textId="77777777">
      <w:pPr>
        <w:pStyle w:val="Texte"/>
        <w:numPr>
          <w:ilvl w:val="0"/>
          <w:numId w:val="5"/>
        </w:numPr>
      </w:pPr>
      <w:r w:rsidRPr="00602CCA">
        <w:t xml:space="preserve">Die </w:t>
      </w:r>
      <w:proofErr w:type="spellStart"/>
      <w:r w:rsidRPr="00602CCA">
        <w:t>Hinzufügung</w:t>
      </w:r>
      <w:proofErr w:type="spellEnd"/>
      <w:r w:rsidRPr="00602CCA">
        <w:t xml:space="preserve"> </w:t>
      </w:r>
      <w:proofErr w:type="spellStart"/>
      <w:r w:rsidRPr="00602CCA">
        <w:t>einer</w:t>
      </w:r>
      <w:proofErr w:type="spellEnd"/>
      <w:r w:rsidRPr="00602CCA">
        <w:t xml:space="preserve"> Wettbewerbsverbotsklausel:</w:t>
      </w:r>
    </w:p>
    <w:p w:rsidRPr="008F303F" w:rsidR="00022CA9" w:rsidP="00602CCA" w:rsidRDefault="00022CA9" w14:paraId="008ADF9D" w14:textId="77777777">
      <w:pPr>
        <w:pStyle w:val="Texte"/>
        <w:ind w:left="708"/>
        <w:rPr>
          <w:lang w:val="de-DE"/>
        </w:rPr>
      </w:pPr>
      <w:r w:rsidRPr="008F303F">
        <w:rPr>
          <w:lang w:val="de-DE"/>
        </w:rPr>
        <w:t>Die Hinzufügung einer Wettbewerbsverbotsklausel, die der ursprüngliche Vertrag nicht vorsieht und die die Freiheit des Arbeitnehmers künftig einschränkt, weist im Allgemeinen</w:t>
      </w:r>
      <w:r w:rsidRPr="00022CA9">
        <w:rPr>
          <w:sz w:val="20"/>
          <w:szCs w:val="20"/>
          <w:lang w:val="de-CH"/>
        </w:rPr>
        <w:t xml:space="preserve"> einen wesentlichen </w:t>
      </w:r>
      <w:r w:rsidRPr="008F303F">
        <w:rPr>
          <w:lang w:val="de-DE"/>
        </w:rPr>
        <w:t xml:space="preserve">Charakter auf und muss folglich unter Einhaltung des gesetzlich vorgesehenen Verfahrens erfolgen. </w:t>
      </w:r>
    </w:p>
    <w:p w:rsidRPr="00602CCA" w:rsidR="00022CA9" w:rsidP="00602CCA" w:rsidRDefault="00022CA9" w14:paraId="6AB14779" w14:textId="77777777">
      <w:pPr>
        <w:pStyle w:val="Texte"/>
        <w:numPr>
          <w:ilvl w:val="0"/>
          <w:numId w:val="5"/>
        </w:numPr>
      </w:pPr>
      <w:r w:rsidRPr="00602CCA">
        <w:t xml:space="preserve">Die </w:t>
      </w:r>
      <w:proofErr w:type="spellStart"/>
      <w:r w:rsidRPr="00602CCA">
        <w:t>Arbeitszeit</w:t>
      </w:r>
      <w:proofErr w:type="spellEnd"/>
      <w:r w:rsidRPr="00602CCA">
        <w:t xml:space="preserve">: </w:t>
      </w:r>
    </w:p>
    <w:p w:rsidRPr="00022CA9" w:rsidR="00022CA9" w:rsidP="00022CA9" w:rsidRDefault="00022CA9" w14:paraId="2E0FEB10" w14:textId="77777777">
      <w:pPr>
        <w:jc w:val="both"/>
        <w:rPr>
          <w:rFonts w:ascii="Verdana" w:hAnsi="Verdana"/>
          <w:b/>
          <w:i/>
          <w:sz w:val="20"/>
          <w:szCs w:val="20"/>
          <w:u w:val="single"/>
          <w:lang w:val="de-CH"/>
        </w:rPr>
      </w:pPr>
      <w:r w:rsidRPr="00022CA9">
        <w:rPr>
          <w:rFonts w:ascii="Verdana" w:hAnsi="Verdana"/>
          <w:b/>
          <w:i/>
          <w:sz w:val="20"/>
          <w:szCs w:val="20"/>
          <w:u w:val="single"/>
          <w:lang w:val="de-CH"/>
        </w:rPr>
        <w:t>Hinweis</w:t>
      </w:r>
      <w:r w:rsidRPr="00B609D7">
        <w:rPr>
          <w:rFonts w:ascii="Verdana" w:hAnsi="Verdana"/>
          <w:b/>
          <w:i/>
          <w:sz w:val="20"/>
          <w:szCs w:val="20"/>
          <w:lang w:val="de-CH"/>
        </w:rPr>
        <w:t>:</w:t>
      </w:r>
      <w:r w:rsidRPr="00022CA9">
        <w:rPr>
          <w:rFonts w:ascii="Verdana" w:hAnsi="Verdana"/>
          <w:b/>
          <w:i/>
          <w:sz w:val="20"/>
          <w:szCs w:val="20"/>
          <w:u w:val="single"/>
          <w:lang w:val="de-CH"/>
        </w:rPr>
        <w:t xml:space="preserve"> </w:t>
      </w:r>
    </w:p>
    <w:p w:rsidRPr="007827EA" w:rsidR="00022CA9" w:rsidP="00602CCA" w:rsidRDefault="00022CA9" w14:paraId="33B99EA7" w14:textId="77777777">
      <w:pPr>
        <w:pStyle w:val="Texte"/>
        <w:numPr>
          <w:ilvl w:val="0"/>
          <w:numId w:val="5"/>
        </w:numPr>
        <w:rPr>
          <w:lang w:val="de-CH"/>
        </w:rPr>
      </w:pPr>
      <w:r w:rsidRPr="007827EA">
        <w:rPr>
          <w:lang w:val="de-CH"/>
        </w:rPr>
        <w:t xml:space="preserve">Für Teilzeitbeschäftigte ist eine Änderung der Arbeitszeit nur mit ausdrücklicher Zustimmung des Arbeitnehmers möglich. </w:t>
      </w:r>
    </w:p>
    <w:p w:rsidRPr="008F303F" w:rsidR="00022CA9" w:rsidP="00602CCA" w:rsidRDefault="00022CA9" w14:paraId="73083E56" w14:textId="77777777">
      <w:pPr>
        <w:pStyle w:val="Texte"/>
        <w:numPr>
          <w:ilvl w:val="0"/>
          <w:numId w:val="5"/>
        </w:numPr>
        <w:rPr>
          <w:lang w:val="de-DE"/>
        </w:rPr>
      </w:pPr>
      <w:r w:rsidRPr="008F303F">
        <w:rPr>
          <w:lang w:val="de-DE"/>
        </w:rPr>
        <w:t xml:space="preserve">Verwechseln Sie die Arbeitszeit bitte nicht mit der Arbeitsdauer. Die Arbeitszeit betrifft die Aufteilung der täglichen Arbeitsdauer auf den Tag; im weiteren Sinne kann die Arbeitszeit auch die Aufteilung der wöchentlichen Arbeitsdauer auf die Arbeitstage der Woche umfassen. Die Arbeitsdauer bezeichnet die Anzahl der Stunden, in denen der Arbeitnehmer im Laufe der Woche für seinen Arbeitgeber arbeiten muss. </w:t>
      </w:r>
    </w:p>
    <w:p w:rsidRPr="008F303F" w:rsidR="00022CA9" w:rsidP="00602CCA" w:rsidRDefault="00022CA9" w14:paraId="1E4C68FF" w14:textId="77777777">
      <w:pPr>
        <w:pStyle w:val="Texte"/>
        <w:numPr>
          <w:ilvl w:val="0"/>
          <w:numId w:val="5"/>
        </w:numPr>
        <w:rPr>
          <w:lang w:val="de-DE"/>
        </w:rPr>
      </w:pPr>
      <w:r w:rsidRPr="008F303F">
        <w:rPr>
          <w:lang w:val="de-DE"/>
        </w:rPr>
        <w:t xml:space="preserve">Der Übergang von einer Vollzeitbeschäftigung zu einer Teilzeitbeschäftigung und umgekehrt, ist ausschließlich mit Zustimmung des Arbeitnehmers möglich. </w:t>
      </w:r>
    </w:p>
    <w:p w:rsidRPr="008F303F" w:rsidR="00022CA9" w:rsidP="00602CCA" w:rsidRDefault="00022CA9" w14:paraId="7464CCEF" w14:textId="0590633B">
      <w:pPr>
        <w:pStyle w:val="Texte"/>
        <w:rPr>
          <w:lang w:val="de-DE"/>
        </w:rPr>
      </w:pPr>
      <w:r w:rsidRPr="008F303F">
        <w:rPr>
          <w:lang w:val="de-DE"/>
        </w:rPr>
        <w:t xml:space="preserve">In Bezug </w:t>
      </w:r>
      <w:r w:rsidRPr="008F303F" w:rsidR="00DA38B7">
        <w:rPr>
          <w:lang w:val="de-DE"/>
        </w:rPr>
        <w:t>auf sämtlichen angeführten Punkten</w:t>
      </w:r>
      <w:r w:rsidRPr="008F303F">
        <w:rPr>
          <w:lang w:val="de-DE"/>
        </w:rPr>
        <w:t xml:space="preserve"> ist Nachstehendes hervorzuheben: Sofern  der Arbeitsvertrag von Anfang an vorsieht, dass die Arbeitszeit, der Arbeitsort, usw. in Abhängigkeit von den Bedürfnissen des Unternehmens variieren können, hat der Arbeitnehmer zum gegebenen Zeitpunkt keine andere Wahl, als die vorgeschlagene Änderung zu akzeptieren. </w:t>
      </w:r>
    </w:p>
    <w:p w:rsidRPr="008F303F" w:rsidR="00022CA9" w:rsidP="00602CCA" w:rsidRDefault="00022CA9" w14:paraId="5A16E5E8" w14:textId="77777777">
      <w:pPr>
        <w:pStyle w:val="Texte"/>
        <w:rPr>
          <w:lang w:val="de-DE"/>
        </w:rPr>
      </w:pPr>
      <w:r w:rsidRPr="008F303F">
        <w:rPr>
          <w:lang w:val="de-DE"/>
        </w:rPr>
        <w:t xml:space="preserve">Durch die Unterzeichnung dieser „Flexibilitätsklauseln“ bestätigt der Arbeitnehmer selbst, dass es sich bei diesen Punkten in seinen Augen nicht um wesentliche Aspekte seines Arbeitsvertrages handelt. </w:t>
      </w:r>
    </w:p>
    <w:p w:rsidRPr="008F303F" w:rsidR="00022CA9" w:rsidP="00602CCA" w:rsidRDefault="00022CA9" w14:paraId="3B7EE380" w14:textId="77777777">
      <w:pPr>
        <w:pStyle w:val="ArticleetTitres2"/>
        <w:numPr>
          <w:ilvl w:val="1"/>
          <w:numId w:val="0"/>
        </w:numPr>
        <w:rPr>
          <w:lang w:val="de-DE"/>
        </w:rPr>
      </w:pPr>
      <w:r w:rsidRPr="008F303F">
        <w:rPr>
          <w:lang w:val="de-DE"/>
        </w:rPr>
        <w:t xml:space="preserve">Welches Verfahren muss der Arbeitgeber einhalten? </w:t>
      </w:r>
    </w:p>
    <w:p w:rsidRPr="008F303F" w:rsidR="00022CA9" w:rsidP="00602CCA" w:rsidRDefault="00022CA9" w14:paraId="0DEA86C3" w14:textId="2C4E2BEC">
      <w:pPr>
        <w:pStyle w:val="Texte"/>
        <w:rPr>
          <w:lang w:val="de-DE"/>
        </w:rPr>
      </w:pPr>
      <w:r w:rsidRPr="008F303F">
        <w:rPr>
          <w:lang w:val="de-DE"/>
        </w:rPr>
        <w:t>Das einzuhaltende Verfahren ähnelt dem Verfahren im Falle der Kündigung durch den Arbeitgeber (</w:t>
      </w:r>
      <w:hyperlink w:history="1" r:id="rId11">
        <w:r w:rsidRPr="003D7023">
          <w:rPr>
            <w:rStyle w:val="Hyperlink"/>
            <w:lang w:val="de-DE"/>
          </w:rPr>
          <w:t>siehe Vorlagen 11 &amp; 12</w:t>
        </w:r>
      </w:hyperlink>
      <w:r w:rsidRPr="008F303F">
        <w:rPr>
          <w:lang w:val="de-DE"/>
        </w:rPr>
        <w:t xml:space="preserve">). Demnach muss der Arbeitgeber dem Arbeitnehmer die Änderung wie folgt mitteilen: </w:t>
      </w:r>
    </w:p>
    <w:p w:rsidRPr="00602CCA" w:rsidR="00022CA9" w:rsidP="00B609D7" w:rsidRDefault="00022CA9" w14:paraId="79409179" w14:textId="77777777">
      <w:pPr>
        <w:pStyle w:val="Texte"/>
        <w:numPr>
          <w:ilvl w:val="0"/>
          <w:numId w:val="6"/>
        </w:numPr>
      </w:pPr>
      <w:proofErr w:type="spellStart"/>
      <w:r w:rsidRPr="00602CCA">
        <w:t>entweder</w:t>
      </w:r>
      <w:proofErr w:type="spellEnd"/>
      <w:r w:rsidRPr="00602CCA">
        <w:t xml:space="preserve"> per </w:t>
      </w:r>
      <w:proofErr w:type="spellStart"/>
      <w:r w:rsidRPr="00602CCA">
        <w:t>Einschreiben</w:t>
      </w:r>
      <w:proofErr w:type="spellEnd"/>
      <w:r w:rsidRPr="00602CCA">
        <w:t xml:space="preserve">; </w:t>
      </w:r>
    </w:p>
    <w:p w:rsidRPr="008F303F" w:rsidR="00022CA9" w:rsidP="00B609D7" w:rsidRDefault="00022CA9" w14:paraId="3D19B65C" w14:textId="77777777">
      <w:pPr>
        <w:pStyle w:val="Texte"/>
        <w:numPr>
          <w:ilvl w:val="0"/>
          <w:numId w:val="6"/>
        </w:numPr>
        <w:spacing w:before="120" w:after="0"/>
        <w:ind w:left="714" w:hanging="357"/>
        <w:rPr>
          <w:lang w:val="de-DE"/>
        </w:rPr>
      </w:pPr>
      <w:r w:rsidRPr="008F303F">
        <w:rPr>
          <w:lang w:val="de-DE"/>
        </w:rPr>
        <w:t xml:space="preserve">oder durch die an den Arbeitnehmer erfolgende eigenhändige Übergabe des Schreibens gegen Empfangsbestätigung des Arbeitnehmers auf der Durchschrift des Schreibens. </w:t>
      </w:r>
    </w:p>
    <w:p w:rsidRPr="008F303F" w:rsidR="00022CA9" w:rsidP="00B609D7" w:rsidRDefault="00022CA9" w14:paraId="1E75B460" w14:textId="3C18FADF">
      <w:pPr>
        <w:pStyle w:val="Texte"/>
        <w:spacing w:before="240"/>
        <w:rPr>
          <w:lang w:val="de-DE"/>
        </w:rPr>
      </w:pPr>
      <w:r w:rsidRPr="008F303F">
        <w:rPr>
          <w:lang w:val="de-DE"/>
        </w:rPr>
        <w:t>In Unternehmen mit mindestens 150 Arbeitnehmern muss der Arbeitgeber den Arbeitnehmer vorab zu einem Gespräch vorladen, in dessen Rahmen er ihm die Gründe für die geplante Änderung darlegt und die Meinung des Arbeitnehmers einholt (</w:t>
      </w:r>
      <w:hyperlink w:history="1" r:id="rId12">
        <w:r w:rsidRPr="003D7023">
          <w:rPr>
            <w:rStyle w:val="Hyperlink"/>
            <w:lang w:val="de-DE"/>
          </w:rPr>
          <w:t>siehe Vorlage 11</w:t>
        </w:r>
      </w:hyperlink>
      <w:r w:rsidRPr="008F303F">
        <w:rPr>
          <w:lang w:val="de-DE"/>
        </w:rPr>
        <w:t xml:space="preserve">). </w:t>
      </w:r>
    </w:p>
    <w:p w:rsidRPr="008F303F" w:rsidR="00022CA9" w:rsidP="00602CCA" w:rsidRDefault="00022CA9" w14:paraId="24958F42" w14:textId="77777777">
      <w:pPr>
        <w:pStyle w:val="Texte"/>
        <w:rPr>
          <w:lang w:val="de-DE"/>
        </w:rPr>
      </w:pPr>
      <w:r w:rsidRPr="008F303F">
        <w:rPr>
          <w:lang w:val="de-DE"/>
        </w:rPr>
        <w:t xml:space="preserve">Die Änderung kann entweder nach Ablauf einer bestimmten und von der Betriebszugehörigkeit des Arbeitnehmers abhängigen Frist eintreten (angekündigte Änderung, sofern die Änderung durch andere Gründe als das schwere Verschulden des Arbeitnehmers gerechtfertigt ist), oder aber mit sofortiger Wirkung (im Falle eines schweren Verschuldens des Arbeitnehmers, das die Änderung rechtfertigt). </w:t>
      </w:r>
    </w:p>
    <w:p w:rsidR="000D6D48" w:rsidP="00602CCA" w:rsidRDefault="00022CA9" w14:paraId="5E6BF08E" w14:textId="77777777">
      <w:pPr>
        <w:pStyle w:val="Texte"/>
        <w:rPr>
          <w:lang w:val="de-DE"/>
        </w:rPr>
      </w:pPr>
      <w:r w:rsidRPr="008F303F">
        <w:rPr>
          <w:lang w:val="de-DE"/>
        </w:rPr>
        <w:t xml:space="preserve">Im Falle der angekündigten Änderung hat der Arbeitnehmer die gesamte Ankündigungsfrist über Zeit, um über die Änderung nachzudenken. </w:t>
      </w:r>
    </w:p>
    <w:p w:rsidRPr="008F303F" w:rsidR="00022CA9" w:rsidP="00602CCA" w:rsidRDefault="00022CA9" w14:paraId="18A59C4A" w14:textId="7B469917">
      <w:pPr>
        <w:pStyle w:val="Texte"/>
        <w:rPr>
          <w:lang w:val="de-DE"/>
        </w:rPr>
      </w:pPr>
      <w:r w:rsidRPr="008F303F">
        <w:rPr>
          <w:lang w:val="de-DE"/>
        </w:rPr>
        <w:t xml:space="preserve">Es obliegt jedoch dem Arbeitnehmer, innerhalb einer Frist von einem Monat nach dem Erhalt des Schreibens zur Ankündigung der Änderung seiner Arbeitsbedingungen per Einschreiben die Gründe für diese Änderung zu erfragen. Der Arbeitgeber ist dazu verpflichtet, diese Anfrage innerhalb eines Monats zu beantworten. </w:t>
      </w:r>
    </w:p>
    <w:p w:rsidRPr="008F303F" w:rsidR="00022CA9" w:rsidP="00602CCA" w:rsidRDefault="00022CA9" w14:paraId="24697709" w14:textId="77777777">
      <w:pPr>
        <w:pStyle w:val="Texte"/>
        <w:rPr>
          <w:lang w:val="de-DE"/>
        </w:rPr>
      </w:pPr>
      <w:r w:rsidRPr="008F303F">
        <w:rPr>
          <w:lang w:val="de-DE"/>
        </w:rPr>
        <w:t>Im Falle einer mit sofortiger Wirkung erfolgenden Änderung der Arbeitsbedingungen, muss das Schreiben direkt das/die dem Arbeitnehmer seitens des Arbeitgebers vorgeworfene(n) schwere(n) Verschulden enthalten, das oder die den Arbeitgeber zu einer derartigen Änderung veranlassen.</w:t>
      </w:r>
    </w:p>
    <w:p w:rsidRPr="008F303F" w:rsidR="00022CA9" w:rsidP="00602CCA" w:rsidRDefault="00022CA9" w14:paraId="7D0857ED" w14:textId="77777777">
      <w:pPr>
        <w:pStyle w:val="Texte"/>
        <w:rPr>
          <w:lang w:val="de-DE"/>
        </w:rPr>
      </w:pPr>
      <w:r w:rsidRPr="008F303F">
        <w:rPr>
          <w:lang w:val="de-DE"/>
        </w:rPr>
        <w:t xml:space="preserve">Sofern sich der Arbeitgeber an das gesetzlich vorgesehene Verfahren gehalten hat, hat der Arbeitnehmer in beiden Fällen die Möglichkeit, die Änderung anzunehmen oder abzulehnen. </w:t>
      </w:r>
    </w:p>
    <w:p w:rsidRPr="008F303F" w:rsidR="00022CA9" w:rsidP="00602CCA" w:rsidRDefault="00022CA9" w14:paraId="44222020" w14:textId="77777777">
      <w:pPr>
        <w:pStyle w:val="Texte"/>
        <w:rPr>
          <w:lang w:val="de-DE"/>
        </w:rPr>
      </w:pPr>
      <w:r w:rsidRPr="008F303F">
        <w:rPr>
          <w:lang w:val="de-DE"/>
        </w:rPr>
        <w:t xml:space="preserve">Entweder akzeptiert er die Änderung und setzt die Tätigkeit für seinen Arbeitgeber unter den neuen Arbeitsbedingungen fort, oder er lehnt die neuen Arbeitsbedingungen ab und gibt seine Stelle auf. </w:t>
      </w:r>
    </w:p>
    <w:p w:rsidRPr="00BA18D9" w:rsidR="00022CA9" w:rsidP="00602CCA" w:rsidRDefault="00022CA9" w14:paraId="6C373D5F" w14:textId="77777777">
      <w:pPr>
        <w:pStyle w:val="Texte"/>
        <w:rPr>
          <w:lang w:val="de-DE"/>
        </w:rPr>
      </w:pPr>
      <w:r w:rsidRPr="008F303F">
        <w:rPr>
          <w:lang w:val="de-DE"/>
        </w:rPr>
        <w:t xml:space="preserve">In diesem Fall gilt die daraus entstehende Auflösung des Arbeitsvertrages als Kündigung durch den Arbeitgeber. Der Arbeitnehmer kann vor dem Arbeitsgericht Klage gegen diese Kündigung einreichen und im Falle des Rechtsmissbrauchs des Arbeitgebers gegebenenfalls die Zuerkennung von Schadensersatz fordern. </w:t>
      </w:r>
      <w:r w:rsidRPr="00BA18D9">
        <w:rPr>
          <w:lang w:val="de-DE"/>
        </w:rPr>
        <w:t xml:space="preserve">Darüber hinaus hat er auch Anspruch auf Arbeitslosengeld. </w:t>
      </w:r>
    </w:p>
    <w:p w:rsidR="003D7023" w:rsidP="00602CCA" w:rsidRDefault="00022CA9" w14:paraId="16D10D1F" w14:textId="77777777">
      <w:pPr>
        <w:pStyle w:val="Texte"/>
        <w:rPr>
          <w:lang w:val="de-DE"/>
        </w:rPr>
      </w:pPr>
      <w:r w:rsidRPr="008F303F">
        <w:rPr>
          <w:lang w:val="de-DE"/>
        </w:rPr>
        <w:t xml:space="preserve">Sofern es der Arbeitgeber unterlässt, dem Arbeitnehmer die Gründe für die Änderung mitzuteilen, wird Letztere als ungerechtfertigt betrachtet und veranlasst zur Entrichtung von Schadensersatz. Selbiges gilt, sofern die Gründe für die Änderung nicht rechtmäßig sind. </w:t>
      </w:r>
    </w:p>
    <w:p w:rsidR="003D7023" w:rsidP="00602CCA" w:rsidRDefault="00022CA9" w14:paraId="78114804" w14:textId="77777777">
      <w:pPr>
        <w:pStyle w:val="Texte"/>
        <w:rPr>
          <w:lang w:val="de-DE"/>
        </w:rPr>
      </w:pPr>
      <w:r w:rsidRPr="008F303F">
        <w:rPr>
          <w:lang w:val="de-DE"/>
        </w:rPr>
        <w:t xml:space="preserve">An dieser Stelle ist darauf hinzuweisen, dass eine entgegen der gesetzlich vorgesehenen Formalitäten und Fristen durchgeführte Änderung als unwirksam zu betrachten ist. </w:t>
      </w:r>
    </w:p>
    <w:p w:rsidR="003D7023" w:rsidP="00602CCA" w:rsidRDefault="00022CA9" w14:paraId="35018AB5" w14:textId="18C54BEC">
      <w:pPr>
        <w:pStyle w:val="Texte"/>
        <w:rPr>
          <w:lang w:val="de-DE"/>
        </w:rPr>
      </w:pPr>
      <w:r w:rsidRPr="008F303F">
        <w:rPr>
          <w:lang w:val="de-DE"/>
        </w:rPr>
        <w:t>In der Praxis wird dem Arbeitnehmer in diesem Fall geraten, die auferlegten Änderungen nicht zu akzeptieren (und folglich im Rahmen des Möglichen zu den früheren Bedingungen weiterzuarbeiten) und seine Missbilligung schriftlich zu äußern (</w:t>
      </w:r>
      <w:hyperlink w:history="1" r:id="rId13">
        <w:r w:rsidRPr="003D7023">
          <w:rPr>
            <w:rStyle w:val="Hyperlink"/>
            <w:lang w:val="de-DE"/>
          </w:rPr>
          <w:t>siehe Vorlage 7</w:t>
        </w:r>
      </w:hyperlink>
      <w:r w:rsidRPr="008F303F">
        <w:rPr>
          <w:lang w:val="de-DE"/>
        </w:rPr>
        <w:t xml:space="preserve">). </w:t>
      </w:r>
    </w:p>
    <w:p w:rsidRPr="003D7023" w:rsidR="00022CA9" w:rsidP="00602CCA" w:rsidRDefault="00022CA9" w14:paraId="1E3A45DF" w14:textId="6ABEBA99">
      <w:pPr>
        <w:pStyle w:val="Texte"/>
        <w:rPr>
          <w:lang w:val="de-DE"/>
        </w:rPr>
      </w:pPr>
      <w:r w:rsidRPr="008F303F">
        <w:rPr>
          <w:lang w:val="de-DE"/>
        </w:rPr>
        <w:t xml:space="preserve">Sofern der Arbeitnehmer über mehrere Wochen oder sogar mehrere Monate hinweg unter den neuen Bedingungen arbeitet, gelten diese als von ihm akzeptiert und er kann keinen Einspruch mehr dagegen erheben (siehe Berufungsgericht, 18. </w:t>
      </w:r>
      <w:r w:rsidRPr="003D7023">
        <w:rPr>
          <w:lang w:val="de-DE"/>
        </w:rPr>
        <w:t xml:space="preserve">Oktober 2001, </w:t>
      </w:r>
      <w:proofErr w:type="spellStart"/>
      <w:r w:rsidR="00987BD5">
        <w:rPr>
          <w:lang w:val="de-DE"/>
        </w:rPr>
        <w:t>no</w:t>
      </w:r>
      <w:proofErr w:type="spellEnd"/>
      <w:r w:rsidR="00987BD5">
        <w:rPr>
          <w:lang w:val="de-DE"/>
        </w:rPr>
        <w:t xml:space="preserve"> </w:t>
      </w:r>
      <w:r w:rsidRPr="003D7023">
        <w:rPr>
          <w:lang w:val="de-DE"/>
        </w:rPr>
        <w:t xml:space="preserve"> 21133). </w:t>
      </w:r>
    </w:p>
    <w:p w:rsidRPr="008F303F" w:rsidR="00022CA9" w:rsidP="00602CCA" w:rsidRDefault="00022CA9" w14:paraId="3C974644" w14:textId="255D1A39">
      <w:pPr>
        <w:pStyle w:val="Texte"/>
        <w:rPr>
          <w:lang w:val="de-DE"/>
        </w:rPr>
      </w:pPr>
      <w:r w:rsidRPr="008F303F">
        <w:rPr>
          <w:b/>
          <w:i/>
          <w:u w:val="single"/>
          <w:lang w:val="de-DE"/>
        </w:rPr>
        <w:t>Achtung</w:t>
      </w:r>
      <w:r w:rsidRPr="008F303F">
        <w:rPr>
          <w:b/>
          <w:i/>
          <w:lang w:val="de-DE"/>
        </w:rPr>
        <w:t>:</w:t>
      </w:r>
      <w:r w:rsidRPr="008F303F">
        <w:rPr>
          <w:lang w:val="de-DE"/>
        </w:rPr>
        <w:t xml:space="preserve"> Sofern sich die Änderung jedoch nicht auf einen wesentlichen Bestandteil des Arbeitsvertrages bezieht (wie beispielsweise eine geringfügige Änderung an der Arbeitszeit), kann die Ablehnung des Arbeitnehmers als Arbeitsverweigerung ausgelegt und in bestimmten Fällen selbst als schweres Verschulden betrachtet werden. </w:t>
      </w:r>
    </w:p>
    <w:p w:rsidRPr="008F303F" w:rsidR="00022CA9" w:rsidP="00602CCA" w:rsidRDefault="00022CA9" w14:paraId="126F78C5" w14:textId="77777777">
      <w:pPr>
        <w:pStyle w:val="Texte"/>
        <w:rPr>
          <w:lang w:val="de-DE"/>
        </w:rPr>
      </w:pPr>
      <w:r w:rsidRPr="008F303F">
        <w:rPr>
          <w:lang w:val="de-DE"/>
        </w:rPr>
        <w:t>Selbiges gilt für den Fall, dass die Gründe für die Änderung gerechtfertigt sind.</w:t>
      </w:r>
    </w:p>
    <w:p w:rsidR="00022CA9" w:rsidP="00022CA9" w:rsidRDefault="00022CA9" w14:paraId="5978DDC7" w14:textId="77777777">
      <w:pPr>
        <w:jc w:val="both"/>
        <w:rPr>
          <w:lang w:val="de-CH"/>
        </w:rPr>
      </w:pPr>
      <w:r>
        <w:rPr>
          <w:lang w:val="de-CH"/>
        </w:rPr>
        <w:br w:type="page"/>
      </w:r>
    </w:p>
    <w:p w:rsidRPr="008F303F" w:rsidR="00B609D7" w:rsidP="00B609D7" w:rsidRDefault="00B609D7" w14:paraId="0CE10EB0" w14:textId="77777777">
      <w:pPr>
        <w:pStyle w:val="Texte"/>
        <w:spacing w:before="480"/>
        <w:rPr>
          <w:lang w:val="de-DE"/>
        </w:rPr>
      </w:pPr>
    </w:p>
    <w:p w:rsidRPr="008F303F" w:rsidR="00022CA9" w:rsidP="00B609D7" w:rsidRDefault="00B609D7" w14:paraId="30FD1EED" w14:textId="77777777">
      <w:pPr>
        <w:pStyle w:val="Texte"/>
        <w:spacing w:before="480"/>
        <w:rPr>
          <w:lang w:val="de-DE"/>
        </w:rPr>
      </w:pPr>
      <w:r w:rsidRPr="008F303F">
        <w:rPr>
          <w:lang w:val="de-DE"/>
        </w:rPr>
        <w:t xml:space="preserve"> </w:t>
      </w:r>
      <w:r w:rsidRPr="008F303F" w:rsidR="00022CA9">
        <w:rPr>
          <w:lang w:val="de-DE"/>
        </w:rPr>
        <w:t>(Name und Adresse des Arbeitnehmers)</w:t>
      </w:r>
    </w:p>
    <w:p w:rsidRPr="008F303F" w:rsidR="00022CA9" w:rsidP="00B609D7" w:rsidRDefault="00022CA9" w14:paraId="79982B48" w14:textId="77777777">
      <w:pPr>
        <w:pStyle w:val="Texte"/>
        <w:spacing w:before="480"/>
        <w:jc w:val="right"/>
        <w:rPr>
          <w:lang w:val="de-DE"/>
        </w:rPr>
      </w:pPr>
      <w:r w:rsidRPr="008F303F">
        <w:rPr>
          <w:lang w:val="de-DE"/>
        </w:rPr>
        <w:t>(Name und Adresse des Arbeitgebers)</w:t>
      </w:r>
    </w:p>
    <w:p w:rsidRPr="008F303F" w:rsidR="00022CA9" w:rsidP="00B609D7" w:rsidRDefault="00022CA9" w14:paraId="5DC16A68" w14:textId="77777777">
      <w:pPr>
        <w:pStyle w:val="Texte"/>
        <w:spacing w:before="480"/>
        <w:jc w:val="right"/>
        <w:rPr>
          <w:lang w:val="de-DE"/>
        </w:rPr>
      </w:pPr>
      <w:r w:rsidRPr="008F303F">
        <w:rPr>
          <w:lang w:val="de-DE"/>
        </w:rPr>
        <w:t xml:space="preserve"> (Ort und Datum)</w:t>
      </w:r>
    </w:p>
    <w:p w:rsidRPr="008F303F" w:rsidR="00B609D7" w:rsidP="00B609D7" w:rsidRDefault="00B609D7" w14:paraId="601BFE5B" w14:textId="77777777">
      <w:pPr>
        <w:pStyle w:val="Article"/>
        <w:rPr>
          <w:b w:val="0"/>
          <w:lang w:val="de-DE"/>
        </w:rPr>
      </w:pPr>
    </w:p>
    <w:p w:rsidRPr="008F303F" w:rsidR="00022CA9" w:rsidP="00B609D7" w:rsidRDefault="00022CA9" w14:paraId="2CF9DC73" w14:textId="77777777">
      <w:pPr>
        <w:pStyle w:val="Article"/>
        <w:rPr>
          <w:lang w:val="de-DE"/>
        </w:rPr>
      </w:pPr>
      <w:r w:rsidRPr="008F303F">
        <w:rPr>
          <w:lang w:val="de-DE"/>
        </w:rPr>
        <w:t>PER EINSCHREIBEN</w:t>
      </w:r>
    </w:p>
    <w:p w:rsidRPr="008F303F" w:rsidR="00022CA9" w:rsidP="00B609D7" w:rsidRDefault="00022CA9" w14:paraId="088AF721" w14:textId="77777777">
      <w:pPr>
        <w:pStyle w:val="Texte"/>
        <w:spacing w:before="480"/>
        <w:rPr>
          <w:lang w:val="de-DE"/>
        </w:rPr>
      </w:pPr>
      <w:r w:rsidRPr="008F303F">
        <w:rPr>
          <w:lang w:val="de-DE"/>
        </w:rPr>
        <w:t>Betreff: Anfrage der Gründe für die angekündigte Änderung meines Arbeitsvertrages</w:t>
      </w:r>
    </w:p>
    <w:p w:rsidRPr="008F303F" w:rsidR="00022CA9" w:rsidP="00B609D7" w:rsidRDefault="00022CA9" w14:paraId="56376E2D" w14:textId="77777777">
      <w:pPr>
        <w:pStyle w:val="Texte"/>
        <w:spacing w:before="480"/>
        <w:rPr>
          <w:i/>
          <w:lang w:val="de-DE"/>
        </w:rPr>
      </w:pPr>
      <w:r w:rsidRPr="008F303F">
        <w:rPr>
          <w:i/>
          <w:lang w:val="de-DE"/>
        </w:rPr>
        <w:t>Sehr geehrte Frau _______________ , sehr geehrter Herr _______________</w:t>
      </w:r>
      <w:r w:rsidRPr="003D7023">
        <w:rPr>
          <w:vertAlign w:val="superscript"/>
        </w:rPr>
        <w:footnoteReference w:id="1"/>
      </w:r>
      <w:r w:rsidRPr="008F303F">
        <w:rPr>
          <w:i/>
          <w:lang w:val="de-DE"/>
        </w:rPr>
        <w:t>,</w:t>
      </w:r>
    </w:p>
    <w:p w:rsidRPr="008F303F" w:rsidR="00022CA9" w:rsidP="00B609D7" w:rsidRDefault="00022CA9" w14:paraId="278A8F3D" w14:textId="77777777">
      <w:pPr>
        <w:pStyle w:val="Texte"/>
        <w:spacing w:before="480"/>
        <w:rPr>
          <w:lang w:val="de-DE"/>
        </w:rPr>
      </w:pPr>
      <w:r w:rsidRPr="008F303F">
        <w:rPr>
          <w:lang w:val="de-DE"/>
        </w:rPr>
        <w:t>hiermit bestätige ich den Erhalt Ihres Schreibens vom ____________________________ , mit dem Sie eine angekündigte Änderung meines Arbeitsvertrages vorgenommen haben.</w:t>
      </w:r>
    </w:p>
    <w:p w:rsidRPr="008F303F" w:rsidR="00022CA9" w:rsidP="00B609D7" w:rsidRDefault="00022CA9" w14:paraId="09A5D74D" w14:textId="77777777">
      <w:pPr>
        <w:pStyle w:val="Texte"/>
        <w:spacing w:before="480"/>
        <w:rPr>
          <w:lang w:val="de-DE"/>
        </w:rPr>
      </w:pPr>
      <w:r w:rsidRPr="008F303F">
        <w:rPr>
          <w:lang w:val="de-DE"/>
        </w:rPr>
        <w:t>Nach Maßgabe der Bestimmungen aus den Artikeln L.121-7 und L.124-5 des Arbeitsgesetzbuches, bitte ich Sie, mir die Gründe für die Änderung meines Arbeitsvertrages anzugeben.</w:t>
      </w:r>
    </w:p>
    <w:p w:rsidR="00022CA9" w:rsidP="00B609D7" w:rsidRDefault="00022CA9" w14:paraId="3A416B08" w14:textId="77777777">
      <w:pPr>
        <w:pStyle w:val="Texte"/>
        <w:spacing w:before="480"/>
      </w:pPr>
      <w:r w:rsidRPr="00B609D7">
        <w:t xml:space="preserve">Mit </w:t>
      </w:r>
      <w:proofErr w:type="spellStart"/>
      <w:r w:rsidRPr="00B609D7">
        <w:t>freundlichen</w:t>
      </w:r>
      <w:proofErr w:type="spellEnd"/>
      <w:r w:rsidRPr="00B609D7">
        <w:t xml:space="preserve"> </w:t>
      </w:r>
      <w:proofErr w:type="spellStart"/>
      <w:r w:rsidRPr="00B609D7">
        <w:t>Grüßen</w:t>
      </w:r>
      <w:proofErr w:type="spellEnd"/>
      <w:r w:rsidRPr="00B609D7">
        <w:t>,</w:t>
      </w:r>
    </w:p>
    <w:p w:rsidRPr="00B609D7" w:rsidR="00B609D7" w:rsidP="00B609D7" w:rsidRDefault="00B609D7" w14:paraId="7AB3E560" w14:textId="77777777">
      <w:pPr>
        <w:pStyle w:val="Texte"/>
        <w:spacing w:before="480"/>
      </w:pPr>
    </w:p>
    <w:p w:rsidRPr="00B609D7" w:rsidR="00022CA9" w:rsidP="00B609D7" w:rsidRDefault="00022CA9" w14:paraId="62737B0D" w14:textId="77777777">
      <w:pPr>
        <w:pStyle w:val="Blocsignature"/>
        <w:jc w:val="right"/>
        <w:rPr>
          <w:lang w:val="fr-CH"/>
        </w:rPr>
      </w:pPr>
      <w:r w:rsidRPr="00B609D7">
        <w:rPr>
          <w:lang w:val="fr-CH"/>
        </w:rPr>
        <w:t>__</w:t>
      </w:r>
      <w:r w:rsidR="00B609D7">
        <w:rPr>
          <w:lang w:val="fr-CH"/>
        </w:rPr>
        <w:t>__</w:t>
      </w:r>
      <w:r w:rsidRPr="00B609D7">
        <w:rPr>
          <w:lang w:val="fr-CH"/>
        </w:rPr>
        <w:t xml:space="preserve">_________ </w:t>
      </w:r>
    </w:p>
    <w:p w:rsidRPr="00B609D7" w:rsidR="00022CA9" w:rsidP="003D7023" w:rsidRDefault="003D7023" w14:paraId="03448036" w14:textId="12301E44">
      <w:pPr>
        <w:pStyle w:val="Dnommssignatures"/>
        <w:tabs>
          <w:tab w:val="clear" w:pos="6804"/>
          <w:tab w:val="left" w:pos="7230"/>
        </w:tabs>
        <w:spacing w:after="0"/>
        <w:jc w:val="center"/>
      </w:pPr>
      <w:r>
        <w:tab/>
      </w:r>
      <w:r>
        <w:t xml:space="preserve">       </w:t>
      </w:r>
      <w:r w:rsidRPr="00B609D7" w:rsidR="00022CA9">
        <w:t>(</w:t>
      </w:r>
      <w:proofErr w:type="spellStart"/>
      <w:r w:rsidRPr="00B609D7" w:rsidR="00022CA9">
        <w:t>Unterschrift</w:t>
      </w:r>
      <w:proofErr w:type="spellEnd"/>
      <w:r w:rsidRPr="00B609D7" w:rsidR="00022CA9">
        <w:t>)</w:t>
      </w:r>
    </w:p>
    <w:p w:rsidRPr="00022CA9" w:rsidR="0000681A" w:rsidP="00022CA9" w:rsidRDefault="0000681A" w14:paraId="75F74CF7" w14:textId="77777777">
      <w:pPr>
        <w:jc w:val="both"/>
        <w:rPr>
          <w:lang w:val="de-CH"/>
        </w:rPr>
      </w:pPr>
    </w:p>
    <w:sectPr w:rsidRPr="00022CA9" w:rsidR="0000681A">
      <w:headerReference w:type="even" r:id="rId14"/>
      <w:headerReference w:type="default" r:id="rId15"/>
      <w:footerReference w:type="even" r:id="rId16"/>
      <w:footerReference w:type="default" r:id="rId17"/>
      <w:headerReference w:type="first" r:id="rId18"/>
      <w:footerReference w:type="first" r:id="rId19"/>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4FAF" w:rsidP="00022CA9" w:rsidRDefault="00644FAF" w14:paraId="4F142A74" w14:textId="77777777">
      <w:pPr>
        <w:spacing w:after="0" w:line="240" w:lineRule="auto"/>
      </w:pPr>
      <w:r>
        <w:separator/>
      </w:r>
    </w:p>
  </w:endnote>
  <w:endnote w:type="continuationSeparator" w:id="0">
    <w:p w:rsidR="00644FAF" w:rsidP="00022CA9" w:rsidRDefault="00644FAF" w14:paraId="410EE02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B2E" w:rsidRDefault="00E74B2E" w14:paraId="790524D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7D49615" w:rsidP="00AA184D" w:rsidRDefault="37D49615" w14:paraId="2853EBA0" w14:textId="75202D85">
    <w:pPr>
      <w:pStyle w:val="Footnote"/>
    </w:pPr>
  </w:p>
  <w:p w:rsidR="00AA184D" w:rsidP="00AA184D" w:rsidRDefault="00AA184D" w14:paraId="0B786096" w14:textId="77777777">
    <w:pPr>
      <w:pStyle w:val="Footnote"/>
    </w:pPr>
  </w:p>
  <w:p w:rsidRPr="00AA184D" w:rsidR="00AA184D" w:rsidP="00AA184D" w:rsidRDefault="00AA184D" w14:paraId="2EE581F5" w14:textId="0CB7C785">
    <w:pPr>
      <w:pStyle w:val="Footnote"/>
    </w:pPr>
    <w:r w:rsidRPr="00B628E3">
      <w:rPr>
        <w:u w:val="single"/>
      </w:rPr>
      <w:t>Erläuterung</w:t>
    </w:r>
    <w:r w:rsidRPr="00ED51F0">
      <w:t>:</w:t>
    </w:r>
    <w:r>
      <w:t xml:space="preserve"> </w:t>
    </w:r>
    <w:r w:rsidRPr="004B40E2">
      <w:t>In diesem Dokument wird aus Gründen der Vereinfachung ausschließlich die männliche Form verwendet; sie gilt gleichermaßen für alle Personen, unabhängig von ihrem Geschlecht oder ihrer Geschlechtsidentität.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7D49615" w:rsidTr="37D49615" w14:paraId="08A22DE4" w14:textId="77777777">
      <w:trPr>
        <w:trHeight w:val="300"/>
      </w:trPr>
      <w:tc>
        <w:tcPr>
          <w:tcW w:w="3020" w:type="dxa"/>
        </w:tcPr>
        <w:p w:rsidR="37D49615" w:rsidP="37D49615" w:rsidRDefault="37D49615" w14:paraId="1D590132" w14:textId="5540E683">
          <w:pPr>
            <w:pStyle w:val="Header"/>
            <w:ind w:left="-115"/>
          </w:pPr>
        </w:p>
      </w:tc>
      <w:tc>
        <w:tcPr>
          <w:tcW w:w="3020" w:type="dxa"/>
        </w:tcPr>
        <w:p w:rsidR="37D49615" w:rsidP="37D49615" w:rsidRDefault="37D49615" w14:paraId="1B3683DF" w14:textId="748F016D">
          <w:pPr>
            <w:pStyle w:val="Header"/>
            <w:jc w:val="center"/>
          </w:pPr>
        </w:p>
      </w:tc>
      <w:tc>
        <w:tcPr>
          <w:tcW w:w="3020" w:type="dxa"/>
        </w:tcPr>
        <w:p w:rsidR="37D49615" w:rsidP="37D49615" w:rsidRDefault="37D49615" w14:paraId="0C0C9D67" w14:textId="20F98EBE">
          <w:pPr>
            <w:pStyle w:val="Header"/>
            <w:ind w:right="-115"/>
            <w:jc w:val="right"/>
          </w:pPr>
        </w:p>
      </w:tc>
    </w:tr>
  </w:tbl>
  <w:p w:rsidR="37D49615" w:rsidP="37D49615" w:rsidRDefault="37D49615" w14:paraId="5CB3B8FE" w14:textId="1BA7C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4FAF" w:rsidP="00022CA9" w:rsidRDefault="00644FAF" w14:paraId="444169A1" w14:textId="77777777">
      <w:pPr>
        <w:spacing w:after="0" w:line="240" w:lineRule="auto"/>
      </w:pPr>
      <w:r>
        <w:separator/>
      </w:r>
    </w:p>
  </w:footnote>
  <w:footnote w:type="continuationSeparator" w:id="0">
    <w:p w:rsidR="00644FAF" w:rsidP="00022CA9" w:rsidRDefault="00644FAF" w14:paraId="2CC133FC" w14:textId="77777777">
      <w:pPr>
        <w:spacing w:after="0" w:line="240" w:lineRule="auto"/>
      </w:pPr>
      <w:r>
        <w:continuationSeparator/>
      </w:r>
    </w:p>
  </w:footnote>
  <w:footnote w:id="1">
    <w:p w:rsidRPr="00022CA9" w:rsidR="00022CA9" w:rsidRDefault="00022CA9" w14:paraId="3DA013CA" w14:textId="77777777">
      <w:pPr>
        <w:pStyle w:val="FootnoteText"/>
        <w:rPr>
          <w:rFonts w:ascii="Verdana" w:hAnsi="Verdana"/>
          <w:sz w:val="16"/>
          <w:szCs w:val="16"/>
        </w:rPr>
      </w:pPr>
      <w:r w:rsidRPr="00B609D7">
        <w:rPr>
          <w:rStyle w:val="FootnoteReference"/>
          <w:rFonts w:ascii="Verdana" w:hAnsi="Verdana"/>
          <w:sz w:val="14"/>
          <w:szCs w:val="16"/>
        </w:rPr>
        <w:footnoteRef/>
      </w:r>
      <w:r w:rsidRPr="00B609D7">
        <w:rPr>
          <w:rFonts w:ascii="Verdana" w:hAnsi="Verdana"/>
          <w:sz w:val="14"/>
          <w:szCs w:val="16"/>
        </w:rPr>
        <w:t xml:space="preserve"> </w:t>
      </w:r>
      <w:r w:rsidRPr="00B609D7">
        <w:rPr>
          <w:rFonts w:ascii="Verdana" w:hAnsi="Verdana"/>
          <w:i/>
          <w:sz w:val="14"/>
          <w:szCs w:val="16"/>
          <w:lang w:val="de-CH"/>
        </w:rPr>
        <w:t xml:space="preserve">Nichtzutreffendes bitte </w:t>
      </w:r>
      <w:r w:rsidRPr="00E74B2E">
        <w:rPr>
          <w:rStyle w:val="FootnoteChar"/>
        </w:rPr>
        <w:t>streichen</w:t>
      </w:r>
      <w:r w:rsidRPr="00B609D7">
        <w:rPr>
          <w:rFonts w:ascii="Verdana" w:hAnsi="Verdana"/>
          <w:i/>
          <w:sz w:val="14"/>
          <w:szCs w:val="16"/>
          <w:lang w:val="de-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B2E" w:rsidRDefault="00E74B2E" w14:paraId="04C891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7D49615" w:rsidTr="37D49615" w14:paraId="0081B04F" w14:textId="77777777">
      <w:trPr>
        <w:trHeight w:val="300"/>
      </w:trPr>
      <w:tc>
        <w:tcPr>
          <w:tcW w:w="3020" w:type="dxa"/>
        </w:tcPr>
        <w:p w:rsidR="37D49615" w:rsidP="37D49615" w:rsidRDefault="37D49615" w14:paraId="7D20795A" w14:textId="0201B9F5">
          <w:pPr>
            <w:pStyle w:val="Header"/>
            <w:ind w:left="-115"/>
          </w:pPr>
        </w:p>
      </w:tc>
      <w:tc>
        <w:tcPr>
          <w:tcW w:w="3020" w:type="dxa"/>
        </w:tcPr>
        <w:p w:rsidR="37D49615" w:rsidP="37D49615" w:rsidRDefault="37D49615" w14:paraId="51BDC02D" w14:textId="53B6E9A0">
          <w:pPr>
            <w:pStyle w:val="Header"/>
            <w:jc w:val="center"/>
          </w:pPr>
        </w:p>
      </w:tc>
      <w:tc>
        <w:tcPr>
          <w:tcW w:w="3020" w:type="dxa"/>
        </w:tcPr>
        <w:p w:rsidR="37D49615" w:rsidP="37D49615" w:rsidRDefault="37D49615" w14:paraId="08819FE1" w14:textId="361B352C">
          <w:pPr>
            <w:pStyle w:val="Header"/>
            <w:ind w:right="-115"/>
            <w:jc w:val="right"/>
          </w:pPr>
        </w:p>
      </w:tc>
    </w:tr>
  </w:tbl>
  <w:p w:rsidR="37D49615" w:rsidP="37D49615" w:rsidRDefault="37D49615" w14:paraId="03BB5CC4" w14:textId="0E51C2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77B0C7E" w:rsidP="577B0C7E" w:rsidRDefault="577B0C7E" w14:paraId="13B98B88" w14:textId="55B5D55C">
    <w:pPr>
      <w:pStyle w:val="Footnote"/>
      <w:spacing w:after="0" w:line="240" w:lineRule="auto"/>
      <w:jc w:val="both"/>
      <w:rPr>
        <w:noProof w:val="0"/>
        <w:lang w:val="fr-LU"/>
      </w:rPr>
    </w:pPr>
    <w:r w:rsidRPr="577B0C7E" w:rsidR="577B0C7E">
      <w:rPr>
        <w:rFonts w:ascii="Verdana" w:hAnsi="Verdana" w:eastAsia="Verdana" w:cs="Verdana"/>
        <w:b w:val="0"/>
        <w:bCs w:val="0"/>
        <w:i w:val="1"/>
        <w:iCs w:val="1"/>
        <w:caps w:val="0"/>
        <w:smallCaps w:val="0"/>
        <w:noProof w:val="0"/>
        <w:color w:val="000000" w:themeColor="text1" w:themeTint="FF" w:themeShade="FF"/>
        <w:sz w:val="14"/>
        <w:szCs w:val="14"/>
        <w:lang w:val="fr-LU"/>
      </w:rPr>
      <w:t>Version 10/2025</w:t>
    </w:r>
  </w:p>
  <w:p w:rsidR="577B0C7E" w:rsidP="577B0C7E" w:rsidRDefault="577B0C7E" w14:paraId="67E2FA91" w14:textId="73A4A423">
    <w:pPr>
      <w:pStyle w:val="Footnote"/>
      <w:rPr>
        <w:lang w:val="fr-L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1E3"/>
    <w:multiLevelType w:val="hybridMultilevel"/>
    <w:tmpl w:val="3C9ECA1A"/>
    <w:lvl w:ilvl="0" w:tplc="F5068892">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0A5A4151"/>
    <w:multiLevelType w:val="hybridMultilevel"/>
    <w:tmpl w:val="53A69EB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39C63376"/>
    <w:multiLevelType w:val="hybridMultilevel"/>
    <w:tmpl w:val="46964744"/>
    <w:lvl w:ilvl="0" w:tplc="F5068892">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3" w15:restartNumberingAfterBreak="0">
    <w:nsid w:val="3F236F18"/>
    <w:multiLevelType w:val="hybridMultilevel"/>
    <w:tmpl w:val="9508DDB6"/>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4" w15:restartNumberingAfterBreak="0">
    <w:nsid w:val="5567051E"/>
    <w:multiLevelType w:val="hybridMultilevel"/>
    <w:tmpl w:val="00B2ED7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5" w15:restartNumberingAfterBreak="0">
    <w:nsid w:val="5B871BB9"/>
    <w:multiLevelType w:val="hybridMultilevel"/>
    <w:tmpl w:val="716CA09A"/>
    <w:lvl w:ilvl="0" w:tplc="F5068892">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2037386460">
    <w:abstractNumId w:val="4"/>
  </w:num>
  <w:num w:numId="2" w16cid:durableId="239412149">
    <w:abstractNumId w:val="2"/>
  </w:num>
  <w:num w:numId="3" w16cid:durableId="1400134196">
    <w:abstractNumId w:val="5"/>
  </w:num>
  <w:num w:numId="4" w16cid:durableId="257101766">
    <w:abstractNumId w:val="0"/>
  </w:num>
  <w:num w:numId="5" w16cid:durableId="79451070">
    <w:abstractNumId w:val="1"/>
  </w:num>
  <w:num w:numId="6" w16cid:durableId="160629862">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4"/>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CA9"/>
    <w:rsid w:val="0000681A"/>
    <w:rsid w:val="00022CA9"/>
    <w:rsid w:val="000A020C"/>
    <w:rsid w:val="000D6D48"/>
    <w:rsid w:val="000E5D98"/>
    <w:rsid w:val="00272DDE"/>
    <w:rsid w:val="003509AC"/>
    <w:rsid w:val="003610F4"/>
    <w:rsid w:val="003D7023"/>
    <w:rsid w:val="004736E6"/>
    <w:rsid w:val="004A0747"/>
    <w:rsid w:val="004B763F"/>
    <w:rsid w:val="004F391E"/>
    <w:rsid w:val="00602CCA"/>
    <w:rsid w:val="00644FAF"/>
    <w:rsid w:val="00651FA7"/>
    <w:rsid w:val="00653FC8"/>
    <w:rsid w:val="00670507"/>
    <w:rsid w:val="00687CC3"/>
    <w:rsid w:val="006A5085"/>
    <w:rsid w:val="007827EA"/>
    <w:rsid w:val="00814E5F"/>
    <w:rsid w:val="008F303F"/>
    <w:rsid w:val="00902A3E"/>
    <w:rsid w:val="00936376"/>
    <w:rsid w:val="00987BD5"/>
    <w:rsid w:val="00A04956"/>
    <w:rsid w:val="00AA184D"/>
    <w:rsid w:val="00B12E94"/>
    <w:rsid w:val="00B272F0"/>
    <w:rsid w:val="00B27B55"/>
    <w:rsid w:val="00B609D7"/>
    <w:rsid w:val="00BA18D9"/>
    <w:rsid w:val="00C6032D"/>
    <w:rsid w:val="00DA38B7"/>
    <w:rsid w:val="00E66C90"/>
    <w:rsid w:val="00E74B2E"/>
    <w:rsid w:val="00E97D40"/>
    <w:rsid w:val="00EE249C"/>
    <w:rsid w:val="37D49615"/>
    <w:rsid w:val="577B0C7E"/>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24812"/>
  <w15:chartTrackingRefBased/>
  <w15:docId w15:val="{C993DA5F-DD6B-4B99-9B1B-1E32F7FFAC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2CA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22CA9"/>
    <w:pPr>
      <w:ind w:left="720"/>
      <w:contextualSpacing/>
    </w:pPr>
  </w:style>
  <w:style w:type="paragraph" w:styleId="FootnoteText">
    <w:name w:val="footnote text"/>
    <w:basedOn w:val="Normal"/>
    <w:link w:val="FootnoteTextChar"/>
    <w:uiPriority w:val="99"/>
    <w:semiHidden/>
    <w:unhideWhenUsed/>
    <w:rsid w:val="00022CA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022CA9"/>
    <w:rPr>
      <w:sz w:val="20"/>
      <w:szCs w:val="20"/>
    </w:rPr>
  </w:style>
  <w:style w:type="character" w:styleId="FootnoteReference">
    <w:name w:val="footnote reference"/>
    <w:basedOn w:val="DefaultParagraphFont"/>
    <w:uiPriority w:val="99"/>
    <w:semiHidden/>
    <w:unhideWhenUsed/>
    <w:rsid w:val="00022CA9"/>
    <w:rPr>
      <w:vertAlign w:val="superscript"/>
    </w:rPr>
  </w:style>
  <w:style w:type="paragraph" w:styleId="TITRE1erpage" w:customStyle="1">
    <w:name w:val="TITRE 1er page"/>
    <w:basedOn w:val="Normal"/>
    <w:link w:val="TITRE1erpageChar"/>
    <w:qFormat/>
    <w:rsid w:val="00602CCA"/>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602CCA"/>
    <w:rPr>
      <w:rFonts w:ascii="Verdana" w:hAnsi="Verdana"/>
      <w:b/>
      <w:sz w:val="36"/>
      <w:szCs w:val="70"/>
    </w:rPr>
  </w:style>
  <w:style w:type="paragraph" w:styleId="Texte" w:customStyle="1">
    <w:name w:val="Texte"/>
    <w:basedOn w:val="Normal"/>
    <w:link w:val="TexteChar"/>
    <w:qFormat/>
    <w:rsid w:val="00602CCA"/>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602CCA"/>
    <w:rPr>
      <w:rFonts w:ascii="Verdana" w:hAnsi="Verdana"/>
      <w:sz w:val="18"/>
      <w:szCs w:val="18"/>
    </w:rPr>
  </w:style>
  <w:style w:type="paragraph" w:styleId="ArticleetTitres2" w:customStyle="1">
    <w:name w:val="Article et Titres 2"/>
    <w:basedOn w:val="Normal"/>
    <w:next w:val="Texte"/>
    <w:link w:val="ArticleetTitres2Char"/>
    <w:qFormat/>
    <w:rsid w:val="00602CCA"/>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602CCA"/>
    <w:rPr>
      <w:rFonts w:ascii="Verdana" w:hAnsi="Verdana"/>
      <w:b/>
      <w:bCs/>
      <w:sz w:val="20"/>
      <w:szCs w:val="18"/>
    </w:rPr>
  </w:style>
  <w:style w:type="paragraph" w:styleId="Article" w:customStyle="1">
    <w:name w:val="Article"/>
    <w:basedOn w:val="Normal"/>
    <w:link w:val="ArticleChar"/>
    <w:qFormat/>
    <w:rsid w:val="00B609D7"/>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B609D7"/>
    <w:rPr>
      <w:rFonts w:ascii="Verdana" w:hAnsi="Verdana"/>
      <w:b/>
      <w:bCs/>
      <w:sz w:val="20"/>
      <w:szCs w:val="18"/>
    </w:rPr>
  </w:style>
  <w:style w:type="paragraph" w:styleId="Blocsignature" w:customStyle="1">
    <w:name w:val="Bloc signature"/>
    <w:basedOn w:val="Normal"/>
    <w:link w:val="BlocsignatureChar"/>
    <w:qFormat/>
    <w:rsid w:val="00B609D7"/>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B609D7"/>
    <w:rPr>
      <w:rFonts w:ascii="Verdana" w:hAnsi="Verdana"/>
      <w:sz w:val="18"/>
      <w:szCs w:val="18"/>
    </w:rPr>
  </w:style>
  <w:style w:type="paragraph" w:styleId="Dnommssignatures" w:customStyle="1">
    <w:name w:val="Dénommés signatures"/>
    <w:basedOn w:val="Blocsignature"/>
    <w:link w:val="DnommssignaturesChar"/>
    <w:qFormat/>
    <w:rsid w:val="00B609D7"/>
    <w:pPr>
      <w:spacing w:before="60"/>
    </w:pPr>
  </w:style>
  <w:style w:type="character" w:styleId="DnommssignaturesChar" w:customStyle="1">
    <w:name w:val="Dénommés signatures Char"/>
    <w:basedOn w:val="BlocsignatureChar"/>
    <w:link w:val="Dnommssignatures"/>
    <w:rsid w:val="00B609D7"/>
    <w:rPr>
      <w:rFonts w:ascii="Verdana" w:hAnsi="Verdana"/>
      <w:sz w:val="18"/>
      <w:szCs w:val="18"/>
    </w:rPr>
  </w:style>
  <w:style w:type="character" w:styleId="Hyperlink">
    <w:name w:val="Hyperlink"/>
    <w:basedOn w:val="DefaultParagraphFont"/>
    <w:uiPriority w:val="99"/>
    <w:unhideWhenUsed/>
    <w:rsid w:val="003D7023"/>
    <w:rPr>
      <w:color w:val="0563C1" w:themeColor="hyperlink"/>
      <w:u w:val="single"/>
    </w:rPr>
  </w:style>
  <w:style w:type="character" w:styleId="UnresolvedMention">
    <w:name w:val="Unresolved Mention"/>
    <w:basedOn w:val="DefaultParagraphFont"/>
    <w:uiPriority w:val="99"/>
    <w:semiHidden/>
    <w:unhideWhenUsed/>
    <w:rsid w:val="003D7023"/>
    <w:rPr>
      <w:color w:val="605E5C"/>
      <w:shd w:val="clear" w:color="auto" w:fill="E1DFDD"/>
    </w:rPr>
  </w:style>
  <w:style w:type="paragraph" w:styleId="Revision">
    <w:name w:val="Revision"/>
    <w:hidden/>
    <w:uiPriority w:val="99"/>
    <w:semiHidden/>
    <w:rsid w:val="00BA18D9"/>
    <w:pPr>
      <w:spacing w:after="0" w:line="240" w:lineRule="auto"/>
    </w:pPr>
  </w:style>
  <w:style w:type="paragraph" w:styleId="Header">
    <w:name w:val="header"/>
    <w:basedOn w:val="Normal"/>
    <w:uiPriority w:val="99"/>
    <w:unhideWhenUsed/>
    <w:rsid w:val="37D49615"/>
    <w:pPr>
      <w:tabs>
        <w:tab w:val="center" w:pos="4680"/>
        <w:tab w:val="right" w:pos="9360"/>
      </w:tabs>
      <w:spacing w:after="0" w:line="240" w:lineRule="auto"/>
    </w:pPr>
  </w:style>
  <w:style w:type="paragraph" w:styleId="Footer">
    <w:name w:val="footer"/>
    <w:basedOn w:val="Normal"/>
    <w:uiPriority w:val="99"/>
    <w:unhideWhenUsed/>
    <w:rsid w:val="37D4961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Footnote" w:customStyle="1">
    <w:name w:val="Footnote"/>
    <w:basedOn w:val="FootnoteText"/>
    <w:link w:val="FootnoteChar"/>
    <w:qFormat/>
    <w:rsid w:val="00E74B2E"/>
    <w:rPr>
      <w:rFonts w:ascii="Verdana" w:hAnsi="Verdana"/>
      <w:i/>
      <w:sz w:val="14"/>
      <w:szCs w:val="16"/>
      <w:lang w:val="de-CH"/>
    </w:rPr>
  </w:style>
  <w:style w:type="character" w:styleId="FootnoteChar" w:customStyle="1">
    <w:name w:val="Footnote Char"/>
    <w:basedOn w:val="FootnoteTextChar"/>
    <w:link w:val="Footnote"/>
    <w:rsid w:val="00E74B2E"/>
    <w:rPr>
      <w:rFonts w:ascii="Verdana" w:hAnsi="Verdana"/>
      <w:i/>
      <w:sz w:val="14"/>
      <w:szCs w:val="16"/>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sl.lu/de/ihre-rechte/juristische-bibliothek/vorlagen-vertraege-briefe-und-gerichtliche-antraege/"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csl.lu/de/ihre-rechte/juristische-bibliothek/vorlagen-vertraege-briefe-und-gerichtliche-antraege/"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sl.lu/de/ihre-rechte/juristische-bibliothek/vorlagen-vertraege-briefe-und-gerichtliche-antraege/"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DB03E-338F-49A7-92C3-333D10A39321}">
  <ds:schemaRefs>
    <ds:schemaRef ds:uri="http://schemas.openxmlformats.org/officeDocument/2006/bibliography"/>
  </ds:schemaRefs>
</ds:datastoreItem>
</file>

<file path=customXml/itemProps2.xml><?xml version="1.0" encoding="utf-8"?>
<ds:datastoreItem xmlns:ds="http://schemas.openxmlformats.org/officeDocument/2006/customXml" ds:itemID="{F3C1AD85-4DF1-4421-84B3-AFA8D6AC8EF6}">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3.xml><?xml version="1.0" encoding="utf-8"?>
<ds:datastoreItem xmlns:ds="http://schemas.openxmlformats.org/officeDocument/2006/customXml" ds:itemID="{461240F8-DF3D-4D53-B883-1B6F361B3FFE}"/>
</file>

<file path=customXml/itemProps4.xml><?xml version="1.0" encoding="utf-8"?>
<ds:datastoreItem xmlns:ds="http://schemas.openxmlformats.org/officeDocument/2006/customXml" ds:itemID="{56AE87A2-16FE-4CA0-9410-219B3BBE306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16</cp:revision>
  <dcterms:created xsi:type="dcterms:W3CDTF">2024-08-06T22:29:00Z</dcterms:created>
  <dcterms:modified xsi:type="dcterms:W3CDTF">2026-05-11T14:05:34Z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2025-07-10T08:45:54Z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7a49db97-e51c-4d38-97cc-6bc3a0eda68b</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