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D08" w:rsidP="00196D08" w:rsidRDefault="00196D08" w14:paraId="1C43C1D1" w14:textId="2B5A251A">
      <w:pPr>
        <w:pStyle w:val="TITRE1erpage"/>
        <w:spacing w:after="0"/>
      </w:pPr>
      <w:r>
        <w:t>MT 7 –</w:t>
      </w:r>
    </w:p>
    <w:p w:rsidR="00196D08" w:rsidP="00196D08" w:rsidRDefault="00196D08" w14:paraId="61067904" w14:textId="1A0D46D4">
      <w:pPr>
        <w:pStyle w:val="TITRE1erpage"/>
        <w:spacing w:after="0"/>
      </w:pPr>
      <w:r>
        <w:t xml:space="preserve">Rejection/invalidity of the modification </w:t>
      </w:r>
      <w:r>
        <w:br/>
      </w:r>
      <w:r>
        <w:t>of the employment contract</w:t>
      </w:r>
    </w:p>
    <w:p w:rsidR="00196D08" w:rsidP="00196D08" w:rsidRDefault="00196D08" w14:paraId="6E6F2373" w14:textId="77777777">
      <w:pPr>
        <w:pStyle w:val="TITRE1erpage"/>
        <w:spacing w:after="0"/>
      </w:pPr>
    </w:p>
    <w:p w:rsidR="00196D08" w:rsidP="00196D08" w:rsidRDefault="00196D08" w14:paraId="38AFD948" w14:textId="77777777">
      <w:pPr>
        <w:pStyle w:val="Texte"/>
      </w:pPr>
      <w:r>
        <w:t xml:space="preserve">Employers </w:t>
      </w:r>
      <w:proofErr w:type="gramStart"/>
      <w:r>
        <w:t>have to</w:t>
      </w:r>
      <w:proofErr w:type="gramEnd"/>
      <w:r>
        <w:t xml:space="preserve"> follow a special procedure when changing working conditions in a way that is unfavourable to an employee, when such change concerns a clause considered essential to the employment contract. </w:t>
      </w:r>
    </w:p>
    <w:p w:rsidR="00196D08" w:rsidP="00196D08" w:rsidRDefault="00196D08" w14:paraId="4D2F6537" w14:textId="77777777">
      <w:pPr>
        <w:pStyle w:val="Texte"/>
      </w:pPr>
      <w:r>
        <w:t xml:space="preserve">During their term of office, full and alternate members of staff delegations, such as the Health and Safety representative, are not subject to a change in an essential clause of their employment contract.  </w:t>
      </w:r>
    </w:p>
    <w:p w:rsidR="00196D08" w:rsidP="00196D08" w:rsidRDefault="00196D08" w14:paraId="2E4AC274" w14:textId="77777777">
      <w:pPr>
        <w:pStyle w:val="Texte"/>
      </w:pPr>
      <w:r>
        <w:t xml:space="preserve">Where appropriate, these delegates may apply to the President of the Labour Tribunal for the termination of a change to their employment contract carried out unilaterally. </w:t>
      </w:r>
    </w:p>
    <w:p w:rsidR="00196D08" w:rsidP="00196D08" w:rsidRDefault="00196D08" w14:paraId="05129CF5" w14:textId="77777777">
      <w:pPr>
        <w:pStyle w:val="ArticleetTitres2"/>
      </w:pPr>
      <w:r>
        <w:t xml:space="preserve">What is meant by modification of an essential element of the employment contract?  </w:t>
      </w:r>
    </w:p>
    <w:p w:rsidR="00196D08" w:rsidP="00196D08" w:rsidRDefault="00196D08" w14:paraId="361C1B0D" w14:textId="77777777">
      <w:pPr>
        <w:pStyle w:val="Texte"/>
      </w:pPr>
      <w:proofErr w:type="gramStart"/>
      <w:r>
        <w:t>In order to</w:t>
      </w:r>
      <w:proofErr w:type="gramEnd"/>
      <w:r>
        <w:t xml:space="preserve"> be substantial, the modification must relate to an element of the contract which was considered by the parties to be essential at the time of its conclusion, i.e. to an element which may have been decisive to them in </w:t>
      </w:r>
      <w:proofErr w:type="gramStart"/>
      <w:r>
        <w:t>entering into</w:t>
      </w:r>
      <w:proofErr w:type="gramEnd"/>
      <w:r>
        <w:t xml:space="preserve"> the contract.  </w:t>
      </w:r>
    </w:p>
    <w:p w:rsidR="00196D08" w:rsidP="00196D08" w:rsidRDefault="00196D08" w14:paraId="6F469677" w14:textId="77777777">
      <w:pPr>
        <w:pStyle w:val="Texte"/>
      </w:pPr>
      <w:r>
        <w:t xml:space="preserve">Conversely, the modification is only incidental either when it concerns an element that is not a decisive factor affecting their will, or when the parties had foreseen from the outset the possibility of a subsequent modification.  In the latter case, the employee must comply. </w:t>
      </w:r>
    </w:p>
    <w:p w:rsidR="00196D08" w:rsidP="00196D08" w:rsidRDefault="00196D08" w14:paraId="02073DC8" w14:textId="77777777">
      <w:pPr>
        <w:pStyle w:val="Texte"/>
      </w:pPr>
      <w:r>
        <w:t xml:space="preserve">In general, the following changes are to be considered essential and therefore subject to the procedure laid down by law: </w:t>
      </w:r>
    </w:p>
    <w:p w:rsidR="00196D08" w:rsidP="00196D08" w:rsidRDefault="00196D08" w14:paraId="6AD9E085" w14:textId="361C1BA3">
      <w:pPr>
        <w:pStyle w:val="Texte"/>
        <w:numPr>
          <w:ilvl w:val="0"/>
          <w:numId w:val="2"/>
        </w:numPr>
      </w:pPr>
      <w:r>
        <w:t xml:space="preserve">negative changes in </w:t>
      </w:r>
      <w:proofErr w:type="gramStart"/>
      <w:r>
        <w:t xml:space="preserve">remuneration </w:t>
      </w:r>
      <w:r w:rsidR="0046145C">
        <w:t>;</w:t>
      </w:r>
      <w:proofErr w:type="gramEnd"/>
    </w:p>
    <w:p w:rsidR="00196D08" w:rsidP="00196D08" w:rsidRDefault="00196D08" w14:paraId="4387375E" w14:textId="77777777">
      <w:pPr>
        <w:pStyle w:val="Texte"/>
        <w:ind w:left="708"/>
      </w:pPr>
      <w:r>
        <w:t xml:space="preserve">Any negative change to the main salary or to its accessories is considered substantial and must follow the legal procedure.  </w:t>
      </w:r>
    </w:p>
    <w:p w:rsidR="00196D08" w:rsidP="00196D08" w:rsidRDefault="00196D08" w14:paraId="3563F507" w14:textId="77777777">
      <w:pPr>
        <w:pStyle w:val="Texte"/>
        <w:ind w:left="708"/>
      </w:pPr>
      <w:r>
        <w:t xml:space="preserve">However, a change in the method of calculating pay is not necessarily an essential change </w:t>
      </w:r>
      <w:proofErr w:type="gramStart"/>
      <w:r>
        <w:t>as long as</w:t>
      </w:r>
      <w:proofErr w:type="gramEnd"/>
      <w:r>
        <w:t xml:space="preserve"> the same level of pay is maintained and the new method is favourable to the employee </w:t>
      </w:r>
    </w:p>
    <w:p w:rsidR="00196D08" w:rsidP="00196D08" w:rsidRDefault="00196D08" w14:paraId="56BBEC40" w14:textId="6283BFBD">
      <w:pPr>
        <w:pStyle w:val="Texte"/>
        <w:numPr>
          <w:ilvl w:val="0"/>
          <w:numId w:val="2"/>
        </w:numPr>
      </w:pPr>
      <w:r>
        <w:t xml:space="preserve">negative changes in </w:t>
      </w:r>
      <w:proofErr w:type="gramStart"/>
      <w:r>
        <w:t xml:space="preserve">qualification </w:t>
      </w:r>
      <w:r w:rsidR="0046145C">
        <w:t>;</w:t>
      </w:r>
      <w:proofErr w:type="gramEnd"/>
    </w:p>
    <w:p w:rsidR="00196D08" w:rsidP="00196D08" w:rsidRDefault="00196D08" w14:paraId="026343DF" w14:textId="77777777">
      <w:pPr>
        <w:pStyle w:val="Texte"/>
        <w:ind w:left="708"/>
      </w:pPr>
      <w:r>
        <w:t xml:space="preserve">Downgrading, i.e. the assignment of duties corresponding to a lower qualification, constitutes a substantial change, even if the level of pay is maintained. However, a simple transfer from one position to another or from one department to another without affecting pay and qualification does not trigger the legal procedure. </w:t>
      </w:r>
    </w:p>
    <w:p w:rsidR="00196D08" w:rsidP="00196D08" w:rsidRDefault="00196D08" w14:paraId="352F75B7" w14:textId="77777777">
      <w:pPr>
        <w:pStyle w:val="Texte"/>
        <w:numPr>
          <w:ilvl w:val="0"/>
          <w:numId w:val="2"/>
        </w:numPr>
      </w:pPr>
      <w:r>
        <w:t xml:space="preserve">the change of the place of work is, if applicable, also to be considered as an essential clause of an employment contract and therefore requires compliance with the legal procedure.  However, there is no essential change if the contract contains a mobility clause. </w:t>
      </w:r>
    </w:p>
    <w:p w:rsidR="00196D08" w:rsidP="00196D08" w:rsidRDefault="00196D08" w14:paraId="78C3ADB1" w14:textId="735F9D22">
      <w:pPr>
        <w:pStyle w:val="Texte"/>
        <w:numPr>
          <w:ilvl w:val="0"/>
          <w:numId w:val="2"/>
        </w:numPr>
      </w:pPr>
      <w:r>
        <w:t xml:space="preserve">the addition of a non-competition </w:t>
      </w:r>
      <w:proofErr w:type="gramStart"/>
      <w:r>
        <w:t xml:space="preserve">clause </w:t>
      </w:r>
      <w:r w:rsidR="0046145C">
        <w:t>;</w:t>
      </w:r>
      <w:proofErr w:type="gramEnd"/>
    </w:p>
    <w:p w:rsidR="00196D08" w:rsidP="00196D08" w:rsidRDefault="00196D08" w14:paraId="05EB69B2" w14:textId="77777777">
      <w:pPr>
        <w:pStyle w:val="Texte"/>
        <w:ind w:left="708"/>
      </w:pPr>
      <w:r>
        <w:t xml:space="preserve">The addition of a non-competition clause, which is not provided for in the original contract and which restricts the employee's freedom in the future, is generally of a substantial nature and must therefore comply with the legal procedure </w:t>
      </w:r>
    </w:p>
    <w:p w:rsidR="00196D08" w:rsidP="00196D08" w:rsidRDefault="00196D08" w14:paraId="33429806" w14:textId="231472C5">
      <w:pPr>
        <w:pStyle w:val="Texte"/>
        <w:numPr>
          <w:ilvl w:val="0"/>
          <w:numId w:val="3"/>
        </w:numPr>
      </w:pPr>
      <w:r>
        <w:t>Working hours</w:t>
      </w:r>
      <w:r w:rsidR="0046145C">
        <w:t>.</w:t>
      </w:r>
    </w:p>
    <w:p w:rsidR="00196D08" w:rsidP="00196D08" w:rsidRDefault="00196D08" w14:paraId="1CCEE72A" w14:textId="77777777">
      <w:pPr>
        <w:pStyle w:val="Article"/>
        <w:rPr>
          <w:u w:val="single"/>
        </w:rPr>
      </w:pPr>
      <w:r>
        <w:rPr>
          <w:u w:val="single"/>
        </w:rPr>
        <w:t>Note</w:t>
      </w:r>
      <w:r>
        <w:t xml:space="preserve">: </w:t>
      </w:r>
    </w:p>
    <w:p w:rsidR="00196D08" w:rsidP="00196D08" w:rsidRDefault="00196D08" w14:paraId="4886E696" w14:textId="77777777">
      <w:pPr>
        <w:pStyle w:val="Texte"/>
        <w:numPr>
          <w:ilvl w:val="0"/>
          <w:numId w:val="3"/>
        </w:numPr>
      </w:pPr>
      <w:r>
        <w:t xml:space="preserve">For part-time workers, this change is only possible with the express agreement of the employee. </w:t>
      </w:r>
    </w:p>
    <w:p w:rsidR="00196D08" w:rsidP="00196D08" w:rsidRDefault="00196D08" w14:paraId="7A48E866" w14:textId="77777777">
      <w:pPr>
        <w:pStyle w:val="Texte"/>
        <w:numPr>
          <w:ilvl w:val="0"/>
          <w:numId w:val="3"/>
        </w:numPr>
      </w:pPr>
      <w:r>
        <w:t xml:space="preserve">Do not confuse working hours with working time. Working hours refers to the distribution of the daily working time over the day; in a broader sense, the working time may also include the distribution of the weekly working time over the working days of the week.  Working time indicates the number of hours the employee </w:t>
      </w:r>
      <w:proofErr w:type="gramStart"/>
      <w:r>
        <w:t>has to</w:t>
      </w:r>
      <w:proofErr w:type="gramEnd"/>
      <w:r>
        <w:t xml:space="preserve"> work for the employer during the week.</w:t>
      </w:r>
    </w:p>
    <w:p w:rsidR="00196D08" w:rsidP="00196D08" w:rsidRDefault="00196D08" w14:paraId="5A087E13" w14:textId="77777777">
      <w:pPr>
        <w:pStyle w:val="Texte"/>
        <w:numPr>
          <w:ilvl w:val="0"/>
          <w:numId w:val="3"/>
        </w:numPr>
      </w:pPr>
      <w:r>
        <w:t xml:space="preserve">A change from full-time to part-time employment, and vice versa, is only possible with the employee's agreement. </w:t>
      </w:r>
    </w:p>
    <w:p w:rsidR="00196D08" w:rsidP="00196D08" w:rsidRDefault="00196D08" w14:paraId="12D983D5" w14:textId="77777777">
      <w:pPr>
        <w:pStyle w:val="Texte"/>
      </w:pPr>
      <w:r>
        <w:t xml:space="preserve">For </w:t>
      </w:r>
      <w:proofErr w:type="gramStart"/>
      <w:r>
        <w:t>all of</w:t>
      </w:r>
      <w:proofErr w:type="gramEnd"/>
      <w:r>
        <w:t xml:space="preserve"> the above, it should be emphasised that if the employment contract provides from the outset that the working hours, place of work, etc. may vary according to the needs of the company, the employee has no choice but to conform to changes when the time comes. </w:t>
      </w:r>
    </w:p>
    <w:p w:rsidR="00196D08" w:rsidP="00196D08" w:rsidRDefault="00196D08" w14:paraId="3DA34F8E" w14:textId="77777777">
      <w:pPr>
        <w:pStyle w:val="Texte"/>
      </w:pPr>
      <w:r>
        <w:t xml:space="preserve">By signing these "flexibility" clauses, employees attest to the fact that they </w:t>
      </w:r>
      <w:proofErr w:type="gramStart"/>
      <w:r>
        <w:t>considers</w:t>
      </w:r>
      <w:proofErr w:type="gramEnd"/>
      <w:r>
        <w:t xml:space="preserve"> these to be non-essential aspects of their employment contract. </w:t>
      </w:r>
    </w:p>
    <w:p w:rsidR="00196D08" w:rsidP="00196D08" w:rsidRDefault="00196D08" w14:paraId="3D2FD7DF" w14:textId="77777777">
      <w:pPr>
        <w:pStyle w:val="ArticleetTitres2"/>
      </w:pPr>
      <w:r>
        <w:t xml:space="preserve">What is the procedure to be followed by the employer?  </w:t>
      </w:r>
    </w:p>
    <w:p w:rsidR="00196D08" w:rsidP="00196D08" w:rsidRDefault="00196D08" w14:paraId="6F796551" w14:textId="77777777">
      <w:pPr>
        <w:pStyle w:val="Texte"/>
      </w:pPr>
      <w:r>
        <w:t xml:space="preserve">The procedure is </w:t>
      </w:r>
      <w:proofErr w:type="gramStart"/>
      <w:r>
        <w:t>similar to</w:t>
      </w:r>
      <w:proofErr w:type="gramEnd"/>
      <w:r>
        <w:t xml:space="preserve"> the dismissal procedure (</w:t>
      </w:r>
      <w:r>
        <w:rPr>
          <w:color w:val="FF0000"/>
        </w:rPr>
        <w:t>see MT 11 &amp; 12</w:t>
      </w:r>
      <w:r>
        <w:t xml:space="preserve">). </w:t>
      </w:r>
    </w:p>
    <w:p w:rsidR="00196D08" w:rsidP="00196D08" w:rsidRDefault="00196D08" w14:paraId="1F30D66E" w14:textId="77777777">
      <w:pPr>
        <w:pStyle w:val="Texte"/>
      </w:pPr>
      <w:r>
        <w:t xml:space="preserve">An employer must inform an employee of the change: </w:t>
      </w:r>
    </w:p>
    <w:p w:rsidR="00196D08" w:rsidP="00196D08" w:rsidRDefault="00196D08" w14:paraId="2F9EF322" w14:textId="77777777">
      <w:pPr>
        <w:pStyle w:val="Enumrationdanstexte"/>
      </w:pPr>
      <w:r>
        <w:t xml:space="preserve">by registered letter </w:t>
      </w:r>
    </w:p>
    <w:p w:rsidR="00196D08" w:rsidP="00196D08" w:rsidRDefault="00196D08" w14:paraId="7FE22987" w14:textId="77777777">
      <w:pPr>
        <w:pStyle w:val="Enumrationdanstexte"/>
      </w:pPr>
      <w:r>
        <w:t xml:space="preserve">by hand-delivering the letter to the employee who acknowledges receipt of it by signing the duplicate letter. </w:t>
      </w:r>
    </w:p>
    <w:p w:rsidR="00196D08" w:rsidP="00196D08" w:rsidRDefault="00196D08" w14:paraId="22601981" w14:textId="77777777">
      <w:pPr>
        <w:pStyle w:val="Texteaprsnumration"/>
      </w:pPr>
      <w:r>
        <w:t>In companies with at least 150 employees, an employer must first call employees in to an interview to explain the reasons for the planned change and to hear the employee's opinion (</w:t>
      </w:r>
      <w:r>
        <w:rPr>
          <w:color w:val="FF0000"/>
        </w:rPr>
        <w:t>see MT 11</w:t>
      </w:r>
      <w:r>
        <w:t xml:space="preserve">). </w:t>
      </w:r>
    </w:p>
    <w:p w:rsidR="00196D08" w:rsidP="00196D08" w:rsidRDefault="00196D08" w14:paraId="5BBF2E45" w14:textId="77777777">
      <w:pPr>
        <w:pStyle w:val="Texte"/>
      </w:pPr>
      <w:r>
        <w:t xml:space="preserve">The change can take place after a certain </w:t>
      </w:r>
      <w:proofErr w:type="gramStart"/>
      <w:r>
        <w:t>period of time</w:t>
      </w:r>
      <w:proofErr w:type="gramEnd"/>
      <w:r>
        <w:t xml:space="preserve">, which depends on the employee's length of service (change with notice when the change is justified by reasons other than serious misconduct of the employee) or with immediate effect (in case of serious misconduct of the employee justifying the change). </w:t>
      </w:r>
    </w:p>
    <w:p w:rsidR="00196D08" w:rsidP="00196D08" w:rsidRDefault="00196D08" w14:paraId="505F070D" w14:textId="77777777">
      <w:pPr>
        <w:pStyle w:val="Texte"/>
      </w:pPr>
      <w:r>
        <w:t xml:space="preserve">In the case of a change with notice, the employee has the whole notice period to consider it.  </w:t>
      </w:r>
    </w:p>
    <w:p w:rsidR="00196D08" w:rsidP="00196D08" w:rsidRDefault="00196D08" w14:paraId="689E4C78" w14:textId="77777777">
      <w:pPr>
        <w:pStyle w:val="Texte"/>
      </w:pPr>
      <w:r>
        <w:t xml:space="preserve">However, it is up to employees to request the reasons for this change by registered letter within one month of receiving the letter announcing the change in their working conditions.   Upon receipt of such requests, employers must respond to them within one month. </w:t>
      </w:r>
    </w:p>
    <w:p w:rsidR="00196D08" w:rsidP="00196D08" w:rsidRDefault="00196D08" w14:paraId="1BE89421" w14:textId="77777777">
      <w:pPr>
        <w:pStyle w:val="Texte"/>
      </w:pPr>
      <w:r>
        <w:t xml:space="preserve">In the case of a change in working conditions with immediate effect, the letter must include a description of the serious fault(s) that the employee is </w:t>
      </w:r>
      <w:proofErr w:type="gramStart"/>
      <w:r>
        <w:t>accused</w:t>
      </w:r>
      <w:proofErr w:type="gramEnd"/>
      <w:r>
        <w:t xml:space="preserve"> and which has </w:t>
      </w:r>
      <w:proofErr w:type="gramStart"/>
      <w:r>
        <w:t>lead</w:t>
      </w:r>
      <w:proofErr w:type="gramEnd"/>
      <w:r>
        <w:t xml:space="preserve"> the employer to make such a change.   </w:t>
      </w:r>
    </w:p>
    <w:p w:rsidR="00196D08" w:rsidP="00196D08" w:rsidRDefault="00196D08" w14:paraId="4487651E" w14:textId="77777777">
      <w:pPr>
        <w:pStyle w:val="Texte"/>
      </w:pPr>
      <w:r>
        <w:t xml:space="preserve">In both cases, when the employer has complied with the legal procedure, employees have two options: to accept or to reject the change.  </w:t>
      </w:r>
    </w:p>
    <w:p w:rsidR="00196D08" w:rsidP="00196D08" w:rsidRDefault="00196D08" w14:paraId="193F1368" w14:textId="77777777">
      <w:pPr>
        <w:pStyle w:val="Texte"/>
      </w:pPr>
      <w:r>
        <w:t xml:space="preserve">Either they accept it and continue to work for his employer under the new working conditions. </w:t>
      </w:r>
    </w:p>
    <w:p w:rsidR="00196D08" w:rsidP="00196D08" w:rsidRDefault="00196D08" w14:paraId="23D838A7" w14:textId="77777777">
      <w:pPr>
        <w:pStyle w:val="Texte"/>
      </w:pPr>
      <w:r>
        <w:t xml:space="preserve">Or they reject the new working conditions and leave their job.  In this case, the resulting termination of the contract is considered as a dismissal. Employees can bring an action before the Labour Court to contest the dismissal and claim damages if the employer has abused their rights. They are also entitled to unemployment benefits. </w:t>
      </w:r>
    </w:p>
    <w:p w:rsidR="00196D08" w:rsidP="00196D08" w:rsidRDefault="00196D08" w14:paraId="3902172A" w14:textId="77777777">
      <w:pPr>
        <w:pStyle w:val="Texte"/>
      </w:pPr>
      <w:r>
        <w:t xml:space="preserve">If the employer fails to provide the employee with the reasons for the change, the change is considered unfair and gives rise to the payment of damages.  The same applies if the reasons for the change are unfounded. </w:t>
      </w:r>
    </w:p>
    <w:p w:rsidR="00196D08" w:rsidP="00196D08" w:rsidRDefault="00196D08" w14:paraId="203F7E73" w14:textId="77777777">
      <w:pPr>
        <w:pStyle w:val="Texte"/>
      </w:pPr>
      <w:r>
        <w:t xml:space="preserve">It should be noted that an amendment made in disregard of the formalities and time limits provided for by the law is to be considered null and void.  </w:t>
      </w:r>
    </w:p>
    <w:p w:rsidR="00196D08" w:rsidP="00196D08" w:rsidRDefault="00196D08" w14:paraId="3EE2D399" w14:textId="77777777">
      <w:pPr>
        <w:pStyle w:val="Texte"/>
      </w:pPr>
      <w:r>
        <w:t>In practice, employees are advised not to accept this type of leveraged changes, to continue working under the former conditions insofar as possible and to express their disapproval in writing (</w:t>
      </w:r>
      <w:r>
        <w:rPr>
          <w:color w:val="FF0000"/>
        </w:rPr>
        <w:t>see MT 7</w:t>
      </w:r>
      <w:r>
        <w:t xml:space="preserve">). </w:t>
      </w:r>
    </w:p>
    <w:p w:rsidR="00196D08" w:rsidP="00196D08" w:rsidRDefault="00196D08" w14:paraId="1EDC7BE9" w14:textId="77777777">
      <w:pPr>
        <w:pStyle w:val="Texte"/>
      </w:pPr>
      <w:r>
        <w:t>Where employees choose to work for several weeks or months under the new conditions, they are deemed to have accepted them and can no longer lodge claims based on this (</w:t>
      </w:r>
      <w:r>
        <w:rPr>
          <w:color w:val="FF0000"/>
        </w:rPr>
        <w:t>see Court of Appeal 18 October 2001, no. 21133 of the case list</w:t>
      </w:r>
      <w:r>
        <w:t xml:space="preserve">). </w:t>
      </w:r>
    </w:p>
    <w:p w:rsidR="00196D08" w:rsidP="00196D08" w:rsidRDefault="00196D08" w14:paraId="0B8A5FA2" w14:textId="77777777">
      <w:pPr>
        <w:pStyle w:val="Texte"/>
      </w:pPr>
      <w:r>
        <w:rPr>
          <w:b/>
          <w:i/>
          <w:u w:val="single"/>
        </w:rPr>
        <w:t>Attention</w:t>
      </w:r>
      <w:r>
        <w:t xml:space="preserve">: However, if the change does not concern an essential element of the employment contract (e.g. a slight change in working hours), an employee's rejection of it may be interpreted as a refusal to work and may even, in certain cases, be considered serious misconduct.  </w:t>
      </w:r>
    </w:p>
    <w:p w:rsidR="00196D08" w:rsidP="00196D08" w:rsidRDefault="00196D08" w14:paraId="56836FFD" w14:textId="77777777">
      <w:pPr>
        <w:pStyle w:val="Texte"/>
      </w:pPr>
      <w:r>
        <w:t>The same applies if the reasons for the amendment are justified</w:t>
      </w:r>
    </w:p>
    <w:p w:rsidR="00196D08" w:rsidRDefault="00196D08" w14:paraId="236B59DE" w14:textId="0B6C2836">
      <w:pPr>
        <w:rPr>
          <w:rFonts w:ascii="Verdana" w:hAnsi="Verdana"/>
          <w:b/>
          <w:sz w:val="36"/>
          <w:szCs w:val="70"/>
          <w:lang w:val="en-GB"/>
        </w:rPr>
      </w:pPr>
    </w:p>
    <w:p w:rsidRPr="00D85A04" w:rsidR="00D85A04" w:rsidP="00D85A04" w:rsidRDefault="00D85A04" w14:paraId="20635EAA" w14:textId="59454F7C">
      <w:pPr>
        <w:pStyle w:val="TITRE1erpage"/>
        <w:spacing w:after="0"/>
        <w:rPr>
          <w:sz w:val="44"/>
          <w:szCs w:val="44"/>
        </w:rPr>
      </w:pPr>
      <w:r>
        <w:cr/>
      </w:r>
      <w:r>
        <w:br/>
      </w:r>
    </w:p>
    <w:p w:rsidR="00196D08" w:rsidRDefault="00196D08" w14:paraId="5538814A" w14:textId="77777777">
      <w:pPr>
        <w:rPr>
          <w:rFonts w:ascii="Verdana" w:hAnsi="Verdana"/>
          <w:sz w:val="18"/>
          <w:szCs w:val="18"/>
          <w:lang w:val="en-GB"/>
        </w:rPr>
      </w:pPr>
      <w:r w:rsidRPr="00D05BF1">
        <w:rPr>
          <w:lang w:val="en-US"/>
        </w:rPr>
        <w:br w:type="page"/>
      </w:r>
    </w:p>
    <w:p w:rsidR="00D85A04" w:rsidP="00D85A04" w:rsidRDefault="00D85A04" w14:paraId="1F3366A4" w14:textId="53072C3A">
      <w:pPr>
        <w:pStyle w:val="Texte"/>
      </w:pPr>
      <w:r>
        <w:t>(Name and address of employee)</w:t>
      </w:r>
    </w:p>
    <w:p w:rsidR="00D85A04" w:rsidP="00D85A04" w:rsidRDefault="00D85A04" w14:paraId="11F574FA" w14:textId="77777777">
      <w:pPr>
        <w:pStyle w:val="Texte"/>
        <w:jc w:val="right"/>
      </w:pPr>
      <w:r>
        <w:t xml:space="preserve">(Name and address of employer) </w:t>
      </w:r>
    </w:p>
    <w:p w:rsidR="00D85A04" w:rsidP="00D85A04" w:rsidRDefault="00D85A04" w14:paraId="109554AB" w14:textId="77777777">
      <w:pPr>
        <w:pStyle w:val="Texte"/>
        <w:jc w:val="right"/>
      </w:pPr>
      <w:r>
        <w:t xml:space="preserve">(place and date) </w:t>
      </w:r>
    </w:p>
    <w:p w:rsidR="00D85A04" w:rsidP="00D85A04" w:rsidRDefault="00D85A04" w14:paraId="4BDDE04A" w14:textId="77777777">
      <w:pPr>
        <w:pStyle w:val="Texte"/>
        <w:rPr>
          <w:b/>
        </w:rPr>
      </w:pPr>
    </w:p>
    <w:p w:rsidR="00D85A04" w:rsidP="00D85A04" w:rsidRDefault="00D85A04" w14:paraId="19F24B41" w14:textId="77777777">
      <w:pPr>
        <w:pStyle w:val="Texte"/>
        <w:rPr>
          <w:b/>
        </w:rPr>
      </w:pPr>
      <w:r>
        <w:rPr>
          <w:b/>
        </w:rPr>
        <w:t xml:space="preserve">BY REGISTERED POST </w:t>
      </w:r>
    </w:p>
    <w:p w:rsidR="00D85A04" w:rsidP="00196D08" w:rsidRDefault="00D85A04" w14:paraId="7F3DC451" w14:textId="609B939D">
      <w:pPr>
        <w:pStyle w:val="Texte"/>
        <w:tabs>
          <w:tab w:val="left" w:pos="1701"/>
        </w:tabs>
        <w:spacing w:after="0"/>
        <w:ind w:left="1416" w:hanging="1416"/>
        <w:rPr>
          <w:i/>
        </w:rPr>
      </w:pPr>
      <w:r>
        <w:t xml:space="preserve">Concerning: </w:t>
      </w:r>
      <w:r>
        <w:tab/>
      </w:r>
      <w:r>
        <w:rPr>
          <w:i/>
        </w:rPr>
        <w:t xml:space="preserve">- </w:t>
      </w:r>
      <w:r w:rsidR="00196D08">
        <w:rPr>
          <w:i/>
        </w:rPr>
        <w:tab/>
      </w:r>
      <w:r>
        <w:rPr>
          <w:i/>
        </w:rPr>
        <w:t>rejection of the modifications made to my employment contract and contesting</w:t>
      </w:r>
      <w:r w:rsidR="00196D08">
        <w:rPr>
          <w:i/>
        </w:rPr>
        <w:br/>
      </w:r>
      <w:r>
        <w:rPr>
          <w:i/>
        </w:rPr>
        <w:t xml:space="preserve"> </w:t>
      </w:r>
      <w:r w:rsidR="00196D08">
        <w:rPr>
          <w:i/>
        </w:rPr>
        <w:tab/>
      </w:r>
      <w:r>
        <w:rPr>
          <w:i/>
        </w:rPr>
        <w:t xml:space="preserve">the reasons (option 1)  </w:t>
      </w:r>
    </w:p>
    <w:p w:rsidR="00D85A04" w:rsidP="00196D08" w:rsidRDefault="00D85A04" w14:paraId="7FA1511B" w14:textId="01296CC6">
      <w:pPr>
        <w:pStyle w:val="Texte"/>
        <w:tabs>
          <w:tab w:val="left" w:pos="1701"/>
        </w:tabs>
        <w:ind w:left="1410" w:firstLine="6"/>
      </w:pPr>
      <w:r>
        <w:rPr>
          <w:i/>
        </w:rPr>
        <w:t xml:space="preserve">- </w:t>
      </w:r>
      <w:r w:rsidR="00196D08">
        <w:rPr>
          <w:i/>
        </w:rPr>
        <w:tab/>
      </w:r>
      <w:r>
        <w:rPr>
          <w:i/>
        </w:rPr>
        <w:t>rejection of the modifications made to my employment contract and invalidity o</w:t>
      </w:r>
      <w:r w:rsidR="00196D08">
        <w:rPr>
          <w:i/>
        </w:rPr>
        <w:t>f</w:t>
      </w:r>
      <w:r w:rsidR="00196D08">
        <w:rPr>
          <w:i/>
        </w:rPr>
        <w:br/>
      </w:r>
      <w:r>
        <w:rPr>
          <w:i/>
        </w:rPr>
        <w:t xml:space="preserve"> </w:t>
      </w:r>
      <w:r w:rsidR="00196D08">
        <w:rPr>
          <w:i/>
        </w:rPr>
        <w:tab/>
      </w:r>
      <w:r>
        <w:rPr>
          <w:i/>
        </w:rPr>
        <w:t>the contract (option 2)</w:t>
      </w:r>
      <w:r>
        <w:t xml:space="preserve"> </w:t>
      </w:r>
      <w:r>
        <w:rPr>
          <w:rStyle w:val="FootnoteReference"/>
        </w:rPr>
        <w:footnoteReference w:id="1"/>
      </w:r>
      <w:r>
        <w:t xml:space="preserve"> </w:t>
      </w:r>
    </w:p>
    <w:p w:rsidR="00D85A04" w:rsidP="00D85A04" w:rsidRDefault="00D85A04" w14:paraId="6AB17869" w14:textId="77777777">
      <w:pPr>
        <w:pStyle w:val="Texte"/>
      </w:pPr>
    </w:p>
    <w:p w:rsidR="00D85A04" w:rsidP="00D85A04" w:rsidRDefault="00D85A04" w14:paraId="35653ADF" w14:textId="0EA2CE8D">
      <w:pPr>
        <w:pStyle w:val="Texte"/>
      </w:pPr>
      <w:r w:rsidRPr="00D05BF1">
        <w:rPr>
          <w:i/>
          <w:iCs/>
        </w:rPr>
        <w:t>Dear</w:t>
      </w:r>
      <w:r>
        <w:t xml:space="preserve"> </w:t>
      </w:r>
      <w:r w:rsidRPr="00196D08">
        <w:rPr>
          <w:i/>
          <w:iCs/>
        </w:rPr>
        <w:t xml:space="preserve">Sir or </w:t>
      </w:r>
      <w:proofErr w:type="gramStart"/>
      <w:r w:rsidRPr="00196D08">
        <w:rPr>
          <w:i/>
          <w:iCs/>
        </w:rPr>
        <w:t>Madam</w:t>
      </w:r>
      <w:proofErr w:type="gramEnd"/>
      <w:r>
        <w:t xml:space="preserve"> </w:t>
      </w:r>
      <w:r>
        <w:rPr>
          <w:vertAlign w:val="superscript"/>
        </w:rPr>
        <w:t>1</w:t>
      </w:r>
      <w:r>
        <w:t xml:space="preserve">, </w:t>
      </w:r>
    </w:p>
    <w:p w:rsidRPr="000A3581" w:rsidR="00D85A04" w:rsidP="00D85A04" w:rsidRDefault="00D85A04" w14:paraId="079057FA" w14:textId="612080AD">
      <w:pPr>
        <w:pStyle w:val="Texte"/>
      </w:pPr>
      <w:r>
        <w:t xml:space="preserve">I acknowledge receipt of your letter of __________________________.  </w:t>
      </w:r>
    </w:p>
    <w:p w:rsidR="00D85A04" w:rsidP="00D85A04" w:rsidRDefault="00D85A04" w14:paraId="7CFB84B5" w14:textId="77777777">
      <w:pPr>
        <w:pStyle w:val="Texte"/>
        <w:rPr>
          <w:b/>
        </w:rPr>
      </w:pPr>
    </w:p>
    <w:p w:rsidR="00D85A04" w:rsidP="00D85A04" w:rsidRDefault="00D85A04" w14:paraId="478BD8ED" w14:textId="36F55646">
      <w:pPr>
        <w:pStyle w:val="Texte"/>
        <w:rPr>
          <w:b/>
        </w:rPr>
      </w:pPr>
      <w:r>
        <w:rPr>
          <w:b/>
        </w:rPr>
        <w:t xml:space="preserve">Choose one of the following two options: </w:t>
      </w:r>
    </w:p>
    <w:p w:rsidR="00D85A04" w:rsidP="00D85A04" w:rsidRDefault="00D85A04" w14:paraId="5B0DE466" w14:textId="77777777">
      <w:pPr>
        <w:pStyle w:val="Texte"/>
        <w:rPr>
          <w:i/>
        </w:rPr>
      </w:pPr>
      <w:r>
        <w:rPr>
          <w:i/>
        </w:rPr>
        <w:t>I hereby contest the reasons given for having changed my employment contract.</w:t>
      </w:r>
    </w:p>
    <w:p w:rsidR="00D85A04" w:rsidP="00D85A04" w:rsidRDefault="00D85A04" w14:paraId="3EFFF0E6" w14:textId="77777777">
      <w:pPr>
        <w:pStyle w:val="Texte"/>
        <w:rPr>
          <w:b/>
        </w:rPr>
      </w:pPr>
      <w:r>
        <w:rPr>
          <w:b/>
        </w:rPr>
        <w:t xml:space="preserve">or </w:t>
      </w:r>
    </w:p>
    <w:p w:rsidR="00D85A04" w:rsidP="00D85A04" w:rsidRDefault="00D85A04" w14:paraId="7BC98B35" w14:textId="183CA138">
      <w:pPr>
        <w:pStyle w:val="Texte"/>
        <w:rPr>
          <w:i/>
        </w:rPr>
      </w:pPr>
      <w:r>
        <w:rPr>
          <w:i/>
        </w:rPr>
        <w:t>You have modified/intend to modify</w:t>
      </w:r>
      <w:r>
        <w:rPr>
          <w:i/>
          <w:vertAlign w:val="superscript"/>
        </w:rPr>
        <w:t>1</w:t>
      </w:r>
      <w:r>
        <w:rPr>
          <w:i/>
        </w:rPr>
        <w:t xml:space="preserve"> my employment contract without complying with the procedure for revising employment contracts as required by Article L.121-7 of the Labour Code. This modification is therefore null and void. </w:t>
      </w:r>
    </w:p>
    <w:p w:rsidRPr="00041A8B" w:rsidR="00D85A04" w:rsidP="00D85A04" w:rsidRDefault="00D85A04" w14:paraId="7DEE606B" w14:textId="53C64607">
      <w:pPr>
        <w:pStyle w:val="Texte"/>
        <w:rPr>
          <w:i/>
          <w:iCs/>
        </w:rPr>
      </w:pPr>
      <w:r w:rsidRPr="00041A8B">
        <w:rPr>
          <w:i/>
          <w:iCs/>
        </w:rPr>
        <w:t>I therefore formally reject the modification of my employment contract which took/will take place</w:t>
      </w:r>
      <w:r w:rsidRPr="00041A8B" w:rsidR="00196D08">
        <w:rPr>
          <w:i/>
          <w:iCs/>
        </w:rPr>
        <w:t xml:space="preserve"> </w:t>
      </w:r>
      <w:proofErr w:type="gramStart"/>
      <w:r w:rsidRPr="00041A8B" w:rsidR="00196D08">
        <w:rPr>
          <w:i/>
          <w:iCs/>
          <w:vertAlign w:val="superscript"/>
        </w:rPr>
        <w:t>1</w:t>
      </w:r>
      <w:r w:rsidRPr="00041A8B" w:rsidR="00196D08">
        <w:rPr>
          <w:i/>
          <w:iCs/>
        </w:rPr>
        <w:t xml:space="preserve"> </w:t>
      </w:r>
      <w:r w:rsidRPr="00041A8B">
        <w:rPr>
          <w:i/>
          <w:iCs/>
        </w:rPr>
        <w:t xml:space="preserve"> on</w:t>
      </w:r>
      <w:proofErr w:type="gramEnd"/>
      <w:r w:rsidRPr="00041A8B">
        <w:rPr>
          <w:i/>
          <w:iCs/>
        </w:rPr>
        <w:t xml:space="preserve">__________________________________.  </w:t>
      </w:r>
    </w:p>
    <w:p w:rsidR="00D85A04" w:rsidP="00D85A04" w:rsidRDefault="00D85A04" w14:paraId="3CF5E5ED" w14:textId="77777777">
      <w:pPr>
        <w:pStyle w:val="Texte"/>
      </w:pPr>
      <w:r>
        <w:t xml:space="preserve">I will continue to work at my job under my usual working conditions. </w:t>
      </w:r>
      <w:r>
        <w:rPr>
          <w:rStyle w:val="FootnoteReference"/>
        </w:rPr>
        <w:footnoteReference w:id="2"/>
      </w:r>
      <w:r>
        <w:t xml:space="preserve"> </w:t>
      </w:r>
    </w:p>
    <w:p w:rsidR="00560AAD" w:rsidP="00D85A04" w:rsidRDefault="00560AAD" w14:paraId="51BF3BD6" w14:textId="77777777">
      <w:pPr>
        <w:pStyle w:val="Texte"/>
      </w:pPr>
    </w:p>
    <w:p w:rsidR="00D85A04" w:rsidP="00D85A04" w:rsidRDefault="00D85A04" w14:paraId="40829515" w14:textId="45FB38CF">
      <w:pPr>
        <w:pStyle w:val="Texte"/>
      </w:pPr>
      <w:r>
        <w:t xml:space="preserve">This is without prejudice to any rights. </w:t>
      </w:r>
    </w:p>
    <w:p w:rsidR="00560AAD" w:rsidP="00D85A04" w:rsidRDefault="00560AAD" w14:paraId="06616AF2" w14:textId="77777777">
      <w:pPr>
        <w:pStyle w:val="Texte"/>
      </w:pPr>
    </w:p>
    <w:p w:rsidR="00D85A04" w:rsidP="00D85A04" w:rsidRDefault="00D85A04" w14:paraId="6C9E1441" w14:textId="30674F7E">
      <w:pPr>
        <w:pStyle w:val="Texte"/>
      </w:pPr>
      <w:r>
        <w:t xml:space="preserve">Yours sincerely, </w:t>
      </w:r>
    </w:p>
    <w:p w:rsidR="00D85A04" w:rsidP="00D85A04" w:rsidRDefault="00D85A04" w14:paraId="077BE259" w14:textId="77777777">
      <w:pPr>
        <w:pStyle w:val="Texte"/>
      </w:pPr>
    </w:p>
    <w:p w:rsidR="00D85A04" w:rsidP="00D85A04" w:rsidRDefault="00D85A04" w14:paraId="47F56CC3" w14:textId="3EB5B102">
      <w:pPr>
        <w:pStyle w:val="Blocsignature"/>
        <w:tabs>
          <w:tab w:val="clear" w:pos="6804"/>
          <w:tab w:val="left" w:pos="7655"/>
        </w:tabs>
        <w:jc w:val="right"/>
      </w:pPr>
      <w:r>
        <w:t>____________</w:t>
      </w:r>
    </w:p>
    <w:p w:rsidR="006E2AFA" w:rsidP="00D85A04" w:rsidRDefault="00D85A04" w14:paraId="6BF6667D" w14:textId="5B546C5F">
      <w:pPr>
        <w:pStyle w:val="Dnommssignatures"/>
        <w:tabs>
          <w:tab w:val="clear" w:pos="6804"/>
          <w:tab w:val="left" w:pos="7797"/>
        </w:tabs>
        <w:spacing w:after="0"/>
      </w:pPr>
      <w:r>
        <w:tab/>
      </w:r>
      <w:r>
        <w:t>(signature)</w:t>
      </w:r>
    </w:p>
    <w:sectPr w:rsidR="006E2AFA" w:rsidSect="00196D08">
      <w:pgSz w:w="11906" w:h="16838" w:orient="portrait"/>
      <w:pgMar w:top="1440" w:right="1440" w:bottom="709" w:left="1440" w:header="709" w:footer="709" w:gutter="0"/>
      <w:cols w:space="708"/>
      <w:docGrid w:linePitch="360"/>
      <w:titlePg w:val="1"/>
      <w:headerReference w:type="default" r:id="R0f096573881e4e5d"/>
      <w:headerReference w:type="first" r:id="R88e6b23134264ca8"/>
      <w:footerReference w:type="default" r:id="R9d79d54d95874b1c"/>
      <w:footerReference w:type="first" r:id="Rc9c84d4b5c05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A04" w:rsidP="00D85A04" w:rsidRDefault="00D85A04" w14:paraId="52D57C6E" w14:textId="77777777">
      <w:pPr>
        <w:spacing w:after="0" w:line="240" w:lineRule="auto"/>
      </w:pPr>
      <w:r>
        <w:separator/>
      </w:r>
    </w:p>
  </w:endnote>
  <w:endnote w:type="continuationSeparator" w:id="0">
    <w:p w:rsidR="00D85A04" w:rsidP="00D85A04" w:rsidRDefault="00D85A04" w14:paraId="654F39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1739DD24" w:rsidP="6425305D" w:rsidRDefault="1739DD24" w14:paraId="2A9E4DA5" w14:textId="219579F9">
    <w:pPr>
      <w:pStyle w:val="Footnote"/>
      <w:bidi w:val="0"/>
      <w:jc w:val="left"/>
      <w:rPr>
        <w:u w:val="single"/>
      </w:rPr>
    </w:pPr>
  </w:p>
  <w:p w:rsidR="1739DD24" w:rsidP="6425305D" w:rsidRDefault="1739DD24" w14:paraId="4427A348" w14:textId="625FD3A6">
    <w:pPr>
      <w:pStyle w:val="Footnote"/>
      <w:bidi w:val="0"/>
      <w:jc w:val="left"/>
      <w:rPr>
        <w:u w:val="single"/>
      </w:rPr>
    </w:pPr>
  </w:p>
  <w:p w:rsidR="1739DD24" w:rsidP="6425305D" w:rsidRDefault="1739DD24" w14:paraId="70A5DC74" w14:textId="27F07105">
    <w:pPr>
      <w:pStyle w:val="Footnote"/>
      <w:bidi w:val="0"/>
      <w:jc w:val="left"/>
    </w:pPr>
    <w:r w:rsidRPr="6425305D" w:rsidR="6425305D">
      <w:rPr>
        <w:u w:val="single"/>
      </w:rPr>
      <w:t>Note</w:t>
    </w:r>
    <w:r w:rsidR="6425305D">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739DD24" w:rsidTr="1739DD24" w14:paraId="6199B556">
      <w:trPr>
        <w:trHeight w:val="300"/>
      </w:trPr>
      <w:tc>
        <w:tcPr>
          <w:tcW w:w="3005" w:type="dxa"/>
          <w:tcMar/>
        </w:tcPr>
        <w:p w:rsidR="1739DD24" w:rsidP="1739DD24" w:rsidRDefault="1739DD24" w14:paraId="2B0754C5" w14:textId="1D615DA8">
          <w:pPr>
            <w:pStyle w:val="Header"/>
            <w:bidi w:val="0"/>
            <w:ind w:left="-115"/>
            <w:jc w:val="left"/>
          </w:pPr>
        </w:p>
      </w:tc>
      <w:tc>
        <w:tcPr>
          <w:tcW w:w="3005" w:type="dxa"/>
          <w:tcMar/>
        </w:tcPr>
        <w:p w:rsidR="1739DD24" w:rsidP="1739DD24" w:rsidRDefault="1739DD24" w14:paraId="7DF581D3" w14:textId="66D7FD43">
          <w:pPr>
            <w:pStyle w:val="Header"/>
            <w:bidi w:val="0"/>
            <w:jc w:val="center"/>
          </w:pPr>
        </w:p>
      </w:tc>
      <w:tc>
        <w:tcPr>
          <w:tcW w:w="3005" w:type="dxa"/>
          <w:tcMar/>
        </w:tcPr>
        <w:p w:rsidR="1739DD24" w:rsidP="1739DD24" w:rsidRDefault="1739DD24" w14:paraId="4A9ADA8C" w14:textId="778506E8">
          <w:pPr>
            <w:pStyle w:val="Header"/>
            <w:bidi w:val="0"/>
            <w:ind w:right="-115"/>
            <w:jc w:val="right"/>
          </w:pPr>
        </w:p>
      </w:tc>
    </w:tr>
  </w:tbl>
  <w:p w:rsidR="1739DD24" w:rsidP="1739DD24" w:rsidRDefault="1739DD24" w14:paraId="732BDD16" w14:textId="453D125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A04" w:rsidP="00D85A04" w:rsidRDefault="00D85A04" w14:paraId="585FD457" w14:textId="77777777">
      <w:pPr>
        <w:spacing w:after="0" w:line="240" w:lineRule="auto"/>
      </w:pPr>
      <w:r>
        <w:separator/>
      </w:r>
    </w:p>
  </w:footnote>
  <w:footnote w:type="continuationSeparator" w:id="0">
    <w:p w:rsidR="00D85A04" w:rsidP="00D85A04" w:rsidRDefault="00D85A04" w14:paraId="72817DB1" w14:textId="77777777">
      <w:pPr>
        <w:spacing w:after="0" w:line="240" w:lineRule="auto"/>
      </w:pPr>
      <w:r>
        <w:continuationSeparator/>
      </w:r>
    </w:p>
  </w:footnote>
  <w:footnote w:id="1">
    <w:p w:rsidRPr="00D85A04" w:rsidR="00D85A04" w:rsidP="00D85A04" w:rsidRDefault="00D85A04" w14:paraId="7F57DA8C" w14:textId="77777777">
      <w:pPr>
        <w:pStyle w:val="Footnote"/>
      </w:pPr>
      <w:r w:rsidRPr="00D85A04">
        <w:rPr>
          <w:rStyle w:val="FootnoteReference"/>
          <w:vertAlign w:val="baseline"/>
        </w:rPr>
        <w:footnoteRef/>
      </w:r>
      <w:r w:rsidRPr="00D85A04">
        <w:t xml:space="preserve"> Unnecessary wording should be deleted.</w:t>
      </w:r>
    </w:p>
  </w:footnote>
  <w:footnote w:id="2">
    <w:p w:rsidR="00D85A04" w:rsidP="00D85A04" w:rsidRDefault="00D85A04" w14:paraId="68683228" w14:textId="77777777">
      <w:pPr>
        <w:pStyle w:val="Footnote"/>
      </w:pPr>
      <w:r w:rsidRPr="00D85A04">
        <w:rPr>
          <w:rStyle w:val="FootnoteReference"/>
          <w:vertAlign w:val="baseline"/>
        </w:rPr>
        <w:footnoteRef/>
      </w:r>
      <w:r w:rsidRPr="00D85A04">
        <w:t xml:space="preserve"> Optional, if possible.</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739DD24" w:rsidTr="1739DD24" w14:paraId="08CD89E2">
      <w:trPr>
        <w:trHeight w:val="300"/>
      </w:trPr>
      <w:tc>
        <w:tcPr>
          <w:tcW w:w="3005" w:type="dxa"/>
          <w:tcMar/>
        </w:tcPr>
        <w:p w:rsidR="1739DD24" w:rsidP="1739DD24" w:rsidRDefault="1739DD24" w14:paraId="697AF289" w14:textId="175CFBAF">
          <w:pPr>
            <w:pStyle w:val="Header"/>
            <w:bidi w:val="0"/>
            <w:ind w:left="-115"/>
            <w:jc w:val="left"/>
          </w:pPr>
        </w:p>
      </w:tc>
      <w:tc>
        <w:tcPr>
          <w:tcW w:w="3005" w:type="dxa"/>
          <w:tcMar/>
        </w:tcPr>
        <w:p w:rsidR="1739DD24" w:rsidP="1739DD24" w:rsidRDefault="1739DD24" w14:paraId="2CB6271B" w14:textId="77851758">
          <w:pPr>
            <w:pStyle w:val="Header"/>
            <w:bidi w:val="0"/>
            <w:jc w:val="center"/>
          </w:pPr>
        </w:p>
      </w:tc>
      <w:tc>
        <w:tcPr>
          <w:tcW w:w="3005" w:type="dxa"/>
          <w:tcMar/>
        </w:tcPr>
        <w:p w:rsidR="1739DD24" w:rsidP="1739DD24" w:rsidRDefault="1739DD24" w14:paraId="2BBAAB93" w14:textId="59F3B73B">
          <w:pPr>
            <w:pStyle w:val="Header"/>
            <w:bidi w:val="0"/>
            <w:ind w:right="-115"/>
            <w:jc w:val="right"/>
          </w:pPr>
        </w:p>
      </w:tc>
    </w:tr>
  </w:tbl>
  <w:p w:rsidR="1739DD24" w:rsidP="1739DD24" w:rsidRDefault="1739DD24" w14:paraId="42E94E61" w14:textId="3BFFDBB6">
    <w:pPr>
      <w:pStyle w:val="Header"/>
      <w:bidi w:val="0"/>
    </w:pPr>
  </w:p>
</w:hdr>
</file>

<file path=word/header2.xml><?xml version="1.0" encoding="utf-8"?>
<w:hdr xmlns:w14="http://schemas.microsoft.com/office/word/2010/wordml" xmlns:w="http://schemas.openxmlformats.org/wordprocessingml/2006/main">
  <w:p w:rsidR="0A65C070" w:rsidP="0A65C070" w:rsidRDefault="0A65C070" w14:paraId="1CFF6097" w14:textId="2151CDD4">
    <w:pPr>
      <w:pStyle w:val="Footnote"/>
      <w:spacing w:after="0" w:line="240" w:lineRule="auto"/>
      <w:jc w:val="both"/>
      <w:rPr>
        <w:noProof w:val="0"/>
        <w:lang w:val="en-GB"/>
      </w:rPr>
    </w:pPr>
    <w:r w:rsidRPr="0A65C070" w:rsidR="0A65C070">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0A65C070" w:rsidP="0A65C070" w:rsidRDefault="0A65C070" w14:paraId="677CB111" w14:textId="0C80E3AB">
    <w:pPr>
      <w:pStyle w:val="Footnote"/>
      <w:suppressLineNumbers w:val="0"/>
      <w:spacing w:before="0" w:beforeAutospacing="off" w:after="0" w:afterAutospacing="off"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148EB"/>
    <w:multiLevelType w:val="hybridMultilevel"/>
    <w:tmpl w:val="57A6FBE6"/>
    <w:lvl w:ilvl="0" w:tplc="140C0001">
      <w:start w:val="1"/>
      <w:numFmt w:val="bullet"/>
      <w:lvlText w:val=""/>
      <w:lvlJc w:val="left"/>
      <w:pPr>
        <w:ind w:left="720" w:hanging="360"/>
      </w:pPr>
      <w:rPr>
        <w:rFonts w:hint="default" w:ascii="Symbol" w:hAnsi="Symbol"/>
      </w:rPr>
    </w:lvl>
    <w:lvl w:ilvl="1" w:tplc="140C0003">
      <w:start w:val="1"/>
      <w:numFmt w:val="bullet"/>
      <w:lvlText w:val="o"/>
      <w:lvlJc w:val="left"/>
      <w:pPr>
        <w:ind w:left="1440" w:hanging="360"/>
      </w:pPr>
      <w:rPr>
        <w:rFonts w:hint="default" w:ascii="Courier New" w:hAnsi="Courier New" w:cs="Courier New"/>
      </w:rPr>
    </w:lvl>
    <w:lvl w:ilvl="2" w:tplc="140C0005">
      <w:start w:val="1"/>
      <w:numFmt w:val="bullet"/>
      <w:lvlText w:val=""/>
      <w:lvlJc w:val="left"/>
      <w:pPr>
        <w:ind w:left="2160" w:hanging="360"/>
      </w:pPr>
      <w:rPr>
        <w:rFonts w:hint="default" w:ascii="Wingdings" w:hAnsi="Wingdings"/>
      </w:rPr>
    </w:lvl>
    <w:lvl w:ilvl="3" w:tplc="140C0001">
      <w:start w:val="1"/>
      <w:numFmt w:val="bullet"/>
      <w:lvlText w:val=""/>
      <w:lvlJc w:val="left"/>
      <w:pPr>
        <w:ind w:left="2880" w:hanging="360"/>
      </w:pPr>
      <w:rPr>
        <w:rFonts w:hint="default" w:ascii="Symbol" w:hAnsi="Symbol"/>
      </w:rPr>
    </w:lvl>
    <w:lvl w:ilvl="4" w:tplc="140C0003">
      <w:start w:val="1"/>
      <w:numFmt w:val="bullet"/>
      <w:lvlText w:val="o"/>
      <w:lvlJc w:val="left"/>
      <w:pPr>
        <w:ind w:left="3600" w:hanging="360"/>
      </w:pPr>
      <w:rPr>
        <w:rFonts w:hint="default" w:ascii="Courier New" w:hAnsi="Courier New" w:cs="Courier New"/>
      </w:rPr>
    </w:lvl>
    <w:lvl w:ilvl="5" w:tplc="140C0005">
      <w:start w:val="1"/>
      <w:numFmt w:val="bullet"/>
      <w:lvlText w:val=""/>
      <w:lvlJc w:val="left"/>
      <w:pPr>
        <w:ind w:left="4320" w:hanging="360"/>
      </w:pPr>
      <w:rPr>
        <w:rFonts w:hint="default" w:ascii="Wingdings" w:hAnsi="Wingdings"/>
      </w:rPr>
    </w:lvl>
    <w:lvl w:ilvl="6" w:tplc="140C0001">
      <w:start w:val="1"/>
      <w:numFmt w:val="bullet"/>
      <w:lvlText w:val=""/>
      <w:lvlJc w:val="left"/>
      <w:pPr>
        <w:ind w:left="5040" w:hanging="360"/>
      </w:pPr>
      <w:rPr>
        <w:rFonts w:hint="default" w:ascii="Symbol" w:hAnsi="Symbol"/>
      </w:rPr>
    </w:lvl>
    <w:lvl w:ilvl="7" w:tplc="140C0003">
      <w:start w:val="1"/>
      <w:numFmt w:val="bullet"/>
      <w:lvlText w:val="o"/>
      <w:lvlJc w:val="left"/>
      <w:pPr>
        <w:ind w:left="5760" w:hanging="360"/>
      </w:pPr>
      <w:rPr>
        <w:rFonts w:hint="default" w:ascii="Courier New" w:hAnsi="Courier New" w:cs="Courier New"/>
      </w:rPr>
    </w:lvl>
    <w:lvl w:ilvl="8" w:tplc="140C0005">
      <w:start w:val="1"/>
      <w:numFmt w:val="bullet"/>
      <w:lvlText w:val=""/>
      <w:lvlJc w:val="left"/>
      <w:pPr>
        <w:ind w:left="6480" w:hanging="360"/>
      </w:pPr>
      <w:rPr>
        <w:rFonts w:hint="default" w:ascii="Wingdings" w:hAnsi="Wingdings"/>
      </w:rPr>
    </w:lvl>
  </w:abstractNum>
  <w:abstractNum w:abstractNumId="1" w15:restartNumberingAfterBreak="0">
    <w:nsid w:val="2EBA5A39"/>
    <w:multiLevelType w:val="hybridMultilevel"/>
    <w:tmpl w:val="CA525A44"/>
    <w:lvl w:ilvl="0" w:tplc="140C0001">
      <w:start w:val="1"/>
      <w:numFmt w:val="bullet"/>
      <w:lvlText w:val=""/>
      <w:lvlJc w:val="left"/>
      <w:pPr>
        <w:ind w:left="720" w:hanging="360"/>
      </w:pPr>
      <w:rPr>
        <w:rFonts w:hint="default" w:ascii="Symbol" w:hAnsi="Symbol"/>
      </w:rPr>
    </w:lvl>
    <w:lvl w:ilvl="1" w:tplc="140C0003">
      <w:start w:val="1"/>
      <w:numFmt w:val="bullet"/>
      <w:lvlText w:val="o"/>
      <w:lvlJc w:val="left"/>
      <w:pPr>
        <w:ind w:left="1440" w:hanging="360"/>
      </w:pPr>
      <w:rPr>
        <w:rFonts w:hint="default" w:ascii="Courier New" w:hAnsi="Courier New" w:cs="Courier New"/>
      </w:rPr>
    </w:lvl>
    <w:lvl w:ilvl="2" w:tplc="140C0005">
      <w:start w:val="1"/>
      <w:numFmt w:val="bullet"/>
      <w:lvlText w:val=""/>
      <w:lvlJc w:val="left"/>
      <w:pPr>
        <w:ind w:left="2160" w:hanging="360"/>
      </w:pPr>
      <w:rPr>
        <w:rFonts w:hint="default" w:ascii="Wingdings" w:hAnsi="Wingdings"/>
      </w:rPr>
    </w:lvl>
    <w:lvl w:ilvl="3" w:tplc="140C0001">
      <w:start w:val="1"/>
      <w:numFmt w:val="bullet"/>
      <w:lvlText w:val=""/>
      <w:lvlJc w:val="left"/>
      <w:pPr>
        <w:ind w:left="2880" w:hanging="360"/>
      </w:pPr>
      <w:rPr>
        <w:rFonts w:hint="default" w:ascii="Symbol" w:hAnsi="Symbol"/>
      </w:rPr>
    </w:lvl>
    <w:lvl w:ilvl="4" w:tplc="140C0003">
      <w:start w:val="1"/>
      <w:numFmt w:val="bullet"/>
      <w:lvlText w:val="o"/>
      <w:lvlJc w:val="left"/>
      <w:pPr>
        <w:ind w:left="3600" w:hanging="360"/>
      </w:pPr>
      <w:rPr>
        <w:rFonts w:hint="default" w:ascii="Courier New" w:hAnsi="Courier New" w:cs="Courier New"/>
      </w:rPr>
    </w:lvl>
    <w:lvl w:ilvl="5" w:tplc="140C0005">
      <w:start w:val="1"/>
      <w:numFmt w:val="bullet"/>
      <w:lvlText w:val=""/>
      <w:lvlJc w:val="left"/>
      <w:pPr>
        <w:ind w:left="4320" w:hanging="360"/>
      </w:pPr>
      <w:rPr>
        <w:rFonts w:hint="default" w:ascii="Wingdings" w:hAnsi="Wingdings"/>
      </w:rPr>
    </w:lvl>
    <w:lvl w:ilvl="6" w:tplc="140C0001">
      <w:start w:val="1"/>
      <w:numFmt w:val="bullet"/>
      <w:lvlText w:val=""/>
      <w:lvlJc w:val="left"/>
      <w:pPr>
        <w:ind w:left="5040" w:hanging="360"/>
      </w:pPr>
      <w:rPr>
        <w:rFonts w:hint="default" w:ascii="Symbol" w:hAnsi="Symbol"/>
      </w:rPr>
    </w:lvl>
    <w:lvl w:ilvl="7" w:tplc="140C0003">
      <w:start w:val="1"/>
      <w:numFmt w:val="bullet"/>
      <w:lvlText w:val="o"/>
      <w:lvlJc w:val="left"/>
      <w:pPr>
        <w:ind w:left="5760" w:hanging="360"/>
      </w:pPr>
      <w:rPr>
        <w:rFonts w:hint="default" w:ascii="Courier New" w:hAnsi="Courier New" w:cs="Courier New"/>
      </w:rPr>
    </w:lvl>
    <w:lvl w:ilvl="8" w:tplc="140C0005">
      <w:start w:val="1"/>
      <w:numFmt w:val="bullet"/>
      <w:lvlText w:val=""/>
      <w:lvlJc w:val="left"/>
      <w:pPr>
        <w:ind w:left="6480" w:hanging="360"/>
      </w:pPr>
      <w:rPr>
        <w:rFonts w:hint="default" w:ascii="Wingdings" w:hAnsi="Wingdings"/>
      </w:rPr>
    </w:lvl>
  </w:abstractNum>
  <w:abstractNum w:abstractNumId="2"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start w:val="1"/>
      <w:numFmt w:val="bullet"/>
      <w:lvlText w:val="o"/>
      <w:lvlJc w:val="left"/>
      <w:pPr>
        <w:ind w:left="1440" w:hanging="360"/>
      </w:pPr>
      <w:rPr>
        <w:rFonts w:hint="default" w:ascii="Courier New" w:hAnsi="Courier New" w:cs="Courier New"/>
      </w:rPr>
    </w:lvl>
    <w:lvl w:ilvl="2" w:tplc="140C0005">
      <w:start w:val="1"/>
      <w:numFmt w:val="bullet"/>
      <w:lvlText w:val=""/>
      <w:lvlJc w:val="left"/>
      <w:pPr>
        <w:ind w:left="2160" w:hanging="360"/>
      </w:pPr>
      <w:rPr>
        <w:rFonts w:hint="default" w:ascii="Wingdings" w:hAnsi="Wingdings"/>
      </w:rPr>
    </w:lvl>
    <w:lvl w:ilvl="3" w:tplc="140C0001">
      <w:start w:val="1"/>
      <w:numFmt w:val="bullet"/>
      <w:lvlText w:val=""/>
      <w:lvlJc w:val="left"/>
      <w:pPr>
        <w:ind w:left="2880" w:hanging="360"/>
      </w:pPr>
      <w:rPr>
        <w:rFonts w:hint="default" w:ascii="Symbol" w:hAnsi="Symbol"/>
      </w:rPr>
    </w:lvl>
    <w:lvl w:ilvl="4" w:tplc="140C0003">
      <w:start w:val="1"/>
      <w:numFmt w:val="bullet"/>
      <w:lvlText w:val="o"/>
      <w:lvlJc w:val="left"/>
      <w:pPr>
        <w:ind w:left="3600" w:hanging="360"/>
      </w:pPr>
      <w:rPr>
        <w:rFonts w:hint="default" w:ascii="Courier New" w:hAnsi="Courier New" w:cs="Courier New"/>
      </w:rPr>
    </w:lvl>
    <w:lvl w:ilvl="5" w:tplc="140C0005">
      <w:start w:val="1"/>
      <w:numFmt w:val="bullet"/>
      <w:lvlText w:val=""/>
      <w:lvlJc w:val="left"/>
      <w:pPr>
        <w:ind w:left="4320" w:hanging="360"/>
      </w:pPr>
      <w:rPr>
        <w:rFonts w:hint="default" w:ascii="Wingdings" w:hAnsi="Wingdings"/>
      </w:rPr>
    </w:lvl>
    <w:lvl w:ilvl="6" w:tplc="140C0001">
      <w:start w:val="1"/>
      <w:numFmt w:val="bullet"/>
      <w:lvlText w:val=""/>
      <w:lvlJc w:val="left"/>
      <w:pPr>
        <w:ind w:left="5040" w:hanging="360"/>
      </w:pPr>
      <w:rPr>
        <w:rFonts w:hint="default" w:ascii="Symbol" w:hAnsi="Symbol"/>
      </w:rPr>
    </w:lvl>
    <w:lvl w:ilvl="7" w:tplc="140C0003">
      <w:start w:val="1"/>
      <w:numFmt w:val="bullet"/>
      <w:lvlText w:val="o"/>
      <w:lvlJc w:val="left"/>
      <w:pPr>
        <w:ind w:left="5760" w:hanging="360"/>
      </w:pPr>
      <w:rPr>
        <w:rFonts w:hint="default" w:ascii="Courier New" w:hAnsi="Courier New" w:cs="Courier New"/>
      </w:rPr>
    </w:lvl>
    <w:lvl w:ilvl="8" w:tplc="140C0005">
      <w:start w:val="1"/>
      <w:numFmt w:val="bullet"/>
      <w:lvlText w:val=""/>
      <w:lvlJc w:val="left"/>
      <w:pPr>
        <w:ind w:left="6480" w:hanging="360"/>
      </w:pPr>
      <w:rPr>
        <w:rFonts w:hint="default" w:ascii="Wingdings" w:hAnsi="Wingdings"/>
      </w:rPr>
    </w:lvl>
  </w:abstractNum>
  <w:num w:numId="1" w16cid:durableId="1042904699">
    <w:abstractNumId w:val="2"/>
  </w:num>
  <w:num w:numId="2" w16cid:durableId="1342899808">
    <w:abstractNumId w:val="1"/>
  </w:num>
  <w:num w:numId="3" w16cid:durableId="17148406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04"/>
    <w:rsid w:val="00041A8B"/>
    <w:rsid w:val="00196D08"/>
    <w:rsid w:val="0045413D"/>
    <w:rsid w:val="0046145C"/>
    <w:rsid w:val="00560AAD"/>
    <w:rsid w:val="00686ADC"/>
    <w:rsid w:val="006E2AFA"/>
    <w:rsid w:val="00B1464D"/>
    <w:rsid w:val="00D05BF1"/>
    <w:rsid w:val="00D85A04"/>
    <w:rsid w:val="0A65C070"/>
    <w:rsid w:val="1739DD24"/>
    <w:rsid w:val="289EB289"/>
    <w:rsid w:val="3B10F6DB"/>
    <w:rsid w:val="417BA867"/>
    <w:rsid w:val="6425305D"/>
    <w:rsid w:val="6F212A7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B4D1"/>
  <w15:chartTrackingRefBased/>
  <w15:docId w15:val="{16913D60-11C6-4B67-A7F1-A35CD4FD53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D85A04"/>
    <w:rPr>
      <w:vertAlign w:val="superscript"/>
    </w:rPr>
  </w:style>
  <w:style w:type="paragraph" w:styleId="Texte" w:customStyle="1">
    <w:name w:val="Texte"/>
    <w:basedOn w:val="Normal"/>
    <w:link w:val="TexteChar"/>
    <w:qFormat/>
    <w:rsid w:val="00D85A04"/>
    <w:pPr>
      <w:spacing w:after="240" w:line="240" w:lineRule="auto"/>
      <w:jc w:val="both"/>
    </w:pPr>
    <w:rPr>
      <w:rFonts w:ascii="Verdana" w:hAnsi="Verdana"/>
      <w:sz w:val="18"/>
      <w:szCs w:val="18"/>
      <w:lang w:val="en-GB"/>
    </w:rPr>
  </w:style>
  <w:style w:type="character" w:styleId="TexteChar" w:customStyle="1">
    <w:name w:val="Texte Char"/>
    <w:basedOn w:val="DefaultParagraphFont"/>
    <w:link w:val="Texte"/>
    <w:rsid w:val="00D85A04"/>
    <w:rPr>
      <w:rFonts w:ascii="Verdana" w:hAnsi="Verdana"/>
      <w:sz w:val="18"/>
      <w:szCs w:val="18"/>
      <w:lang w:val="en-GB"/>
    </w:rPr>
  </w:style>
  <w:style w:type="paragraph" w:styleId="Footnote" w:customStyle="1">
    <w:name w:val="Footnote"/>
    <w:basedOn w:val="Normal"/>
    <w:link w:val="FootnoteChar"/>
    <w:qFormat/>
    <w:rsid w:val="00D85A04"/>
    <w:pPr>
      <w:spacing w:after="0" w:line="240" w:lineRule="auto"/>
      <w:contextualSpacing/>
      <w:jc w:val="both"/>
    </w:pPr>
    <w:rPr>
      <w:rFonts w:ascii="Verdana" w:hAnsi="Verdana"/>
      <w:i/>
      <w:sz w:val="14"/>
      <w:szCs w:val="14"/>
      <w:lang w:val="en-GB"/>
    </w:rPr>
  </w:style>
  <w:style w:type="paragraph" w:styleId="Blocsignature" w:customStyle="1">
    <w:name w:val="Bloc signature"/>
    <w:basedOn w:val="Normal"/>
    <w:link w:val="BlocsignatureChar"/>
    <w:qFormat/>
    <w:rsid w:val="00D85A04"/>
    <w:pPr>
      <w:tabs>
        <w:tab w:val="left" w:pos="6804"/>
      </w:tabs>
      <w:spacing w:before="480" w:line="240" w:lineRule="auto"/>
      <w:jc w:val="both"/>
    </w:pPr>
    <w:rPr>
      <w:rFonts w:ascii="Verdana" w:hAnsi="Verdana"/>
      <w:sz w:val="18"/>
      <w:szCs w:val="18"/>
      <w:lang w:val="en-GB"/>
    </w:rPr>
  </w:style>
  <w:style w:type="character" w:styleId="FootnoteChar" w:customStyle="1">
    <w:name w:val="Footnote Char"/>
    <w:basedOn w:val="DefaultParagraphFont"/>
    <w:link w:val="Footnote"/>
    <w:rsid w:val="00D85A04"/>
    <w:rPr>
      <w:rFonts w:ascii="Verdana" w:hAnsi="Verdana"/>
      <w:i/>
      <w:sz w:val="14"/>
      <w:szCs w:val="14"/>
      <w:lang w:val="en-GB"/>
    </w:rPr>
  </w:style>
  <w:style w:type="paragraph" w:styleId="Dnommssignatures" w:customStyle="1">
    <w:name w:val="Dénommés signatures"/>
    <w:basedOn w:val="Blocsignature"/>
    <w:link w:val="DnommssignaturesChar"/>
    <w:qFormat/>
    <w:rsid w:val="00D85A04"/>
    <w:pPr>
      <w:spacing w:before="60"/>
    </w:pPr>
  </w:style>
  <w:style w:type="character" w:styleId="BlocsignatureChar" w:customStyle="1">
    <w:name w:val="Bloc signature Char"/>
    <w:basedOn w:val="DefaultParagraphFont"/>
    <w:link w:val="Blocsignature"/>
    <w:rsid w:val="00D85A04"/>
    <w:rPr>
      <w:rFonts w:ascii="Verdana" w:hAnsi="Verdana"/>
      <w:sz w:val="18"/>
      <w:szCs w:val="18"/>
      <w:lang w:val="en-GB"/>
    </w:rPr>
  </w:style>
  <w:style w:type="character" w:styleId="DnommssignaturesChar" w:customStyle="1">
    <w:name w:val="Dénommés signatures Char"/>
    <w:basedOn w:val="BlocsignatureChar"/>
    <w:link w:val="Dnommssignatures"/>
    <w:rsid w:val="00D85A04"/>
    <w:rPr>
      <w:rFonts w:ascii="Verdana" w:hAnsi="Verdana"/>
      <w:sz w:val="18"/>
      <w:szCs w:val="18"/>
      <w:lang w:val="en-GB"/>
    </w:rPr>
  </w:style>
  <w:style w:type="paragraph" w:styleId="TITRE1erpage" w:customStyle="1">
    <w:name w:val="TITRE 1er page"/>
    <w:basedOn w:val="Normal"/>
    <w:link w:val="TITRE1erpageChar"/>
    <w:qFormat/>
    <w:rsid w:val="00D85A04"/>
    <w:pPr>
      <w:spacing w:after="480" w:line="240" w:lineRule="auto"/>
      <w:jc w:val="center"/>
    </w:pPr>
    <w:rPr>
      <w:rFonts w:ascii="Verdana" w:hAnsi="Verdana"/>
      <w:b/>
      <w:sz w:val="36"/>
      <w:szCs w:val="70"/>
      <w:lang w:val="en-GB"/>
    </w:rPr>
  </w:style>
  <w:style w:type="character" w:styleId="TITRE1erpageChar" w:customStyle="1">
    <w:name w:val="TITRE 1er page Char"/>
    <w:basedOn w:val="DefaultParagraphFont"/>
    <w:link w:val="TITRE1erpage"/>
    <w:rsid w:val="00D85A04"/>
    <w:rPr>
      <w:rFonts w:ascii="Verdana" w:hAnsi="Verdana"/>
      <w:b/>
      <w:sz w:val="36"/>
      <w:szCs w:val="70"/>
      <w:lang w:val="en-GB"/>
    </w:rPr>
  </w:style>
  <w:style w:type="character" w:styleId="ArticleetTitres2Char" w:customStyle="1">
    <w:name w:val="Article et Titres 2 Char"/>
    <w:basedOn w:val="DefaultParagraphFont"/>
    <w:link w:val="ArticleetTitres2"/>
    <w:locked/>
    <w:rsid w:val="00196D08"/>
    <w:rPr>
      <w:rFonts w:ascii="Verdana" w:hAnsi="Verdana"/>
      <w:b/>
      <w:bCs/>
      <w:sz w:val="20"/>
      <w:szCs w:val="18"/>
      <w:lang w:val="en-GB"/>
    </w:rPr>
  </w:style>
  <w:style w:type="paragraph" w:styleId="ArticleetTitres2" w:customStyle="1">
    <w:name w:val="Article et Titres 2"/>
    <w:basedOn w:val="Normal"/>
    <w:next w:val="Texte"/>
    <w:link w:val="ArticleetTitres2Char"/>
    <w:qFormat/>
    <w:rsid w:val="00196D08"/>
    <w:pPr>
      <w:spacing w:before="240" w:after="120" w:line="240" w:lineRule="auto"/>
      <w:jc w:val="both"/>
    </w:pPr>
    <w:rPr>
      <w:rFonts w:ascii="Verdana" w:hAnsi="Verdana"/>
      <w:b/>
      <w:bCs/>
      <w:sz w:val="20"/>
      <w:szCs w:val="18"/>
      <w:lang w:val="en-GB"/>
    </w:rPr>
  </w:style>
  <w:style w:type="character" w:styleId="ArticleChar" w:customStyle="1">
    <w:name w:val="Article Char"/>
    <w:basedOn w:val="DefaultParagraphFont"/>
    <w:link w:val="Article"/>
    <w:locked/>
    <w:rsid w:val="00196D08"/>
    <w:rPr>
      <w:rFonts w:ascii="Verdana" w:hAnsi="Verdana"/>
      <w:b/>
      <w:bCs/>
      <w:sz w:val="20"/>
      <w:szCs w:val="18"/>
      <w:lang w:val="en-GB"/>
    </w:rPr>
  </w:style>
  <w:style w:type="paragraph" w:styleId="Article" w:customStyle="1">
    <w:name w:val="Article"/>
    <w:basedOn w:val="Normal"/>
    <w:link w:val="ArticleChar"/>
    <w:qFormat/>
    <w:rsid w:val="00196D08"/>
    <w:pPr>
      <w:spacing w:before="240" w:after="120" w:line="240" w:lineRule="auto"/>
      <w:jc w:val="both"/>
    </w:pPr>
    <w:rPr>
      <w:rFonts w:ascii="Verdana" w:hAnsi="Verdana"/>
      <w:b/>
      <w:bCs/>
      <w:sz w:val="20"/>
      <w:szCs w:val="18"/>
      <w:lang w:val="en-GB"/>
    </w:rPr>
  </w:style>
  <w:style w:type="character" w:styleId="EnumrationdanstexteChar" w:customStyle="1">
    <w:name w:val="Enumération dans texte Char"/>
    <w:basedOn w:val="TexteChar"/>
    <w:link w:val="Enumrationdanstexte"/>
    <w:locked/>
    <w:rsid w:val="00196D08"/>
    <w:rPr>
      <w:rFonts w:ascii="Verdana" w:hAnsi="Verdana"/>
      <w:sz w:val="18"/>
      <w:szCs w:val="18"/>
      <w:lang w:val="en-GB"/>
    </w:rPr>
  </w:style>
  <w:style w:type="paragraph" w:styleId="Enumrationdanstexte" w:customStyle="1">
    <w:name w:val="Enumération dans texte"/>
    <w:basedOn w:val="Texte"/>
    <w:link w:val="EnumrationdanstexteChar"/>
    <w:qFormat/>
    <w:rsid w:val="00196D08"/>
    <w:pPr>
      <w:numPr>
        <w:numId w:val="1"/>
      </w:numPr>
      <w:spacing w:before="120" w:after="0"/>
      <w:ind w:left="714" w:hanging="357"/>
    </w:pPr>
  </w:style>
  <w:style w:type="character" w:styleId="TexteaprsnumrationChar" w:customStyle="1">
    <w:name w:val="Texte après énumération Char"/>
    <w:basedOn w:val="TexteChar"/>
    <w:link w:val="Texteaprsnumration"/>
    <w:locked/>
    <w:rsid w:val="00196D08"/>
    <w:rPr>
      <w:rFonts w:ascii="Verdana" w:hAnsi="Verdana"/>
      <w:sz w:val="18"/>
      <w:szCs w:val="18"/>
      <w:lang w:val="en-GB"/>
    </w:rPr>
  </w:style>
  <w:style w:type="paragraph" w:styleId="Texteaprsnumration" w:customStyle="1">
    <w:name w:val="Texte après énumération"/>
    <w:basedOn w:val="Texte"/>
    <w:link w:val="TexteaprsnumrationChar"/>
    <w:qFormat/>
    <w:rsid w:val="00196D08"/>
    <w:pPr>
      <w:spacing w:before="240"/>
    </w:pPr>
  </w:style>
  <w:style w:type="paragraph" w:styleId="Header">
    <w:uiPriority w:val="99"/>
    <w:name w:val="header"/>
    <w:basedOn w:val="Normal"/>
    <w:unhideWhenUsed/>
    <w:rsid w:val="1739DD24"/>
    <w:pPr>
      <w:tabs>
        <w:tab w:val="center" w:leader="none" w:pos="4680"/>
        <w:tab w:val="right" w:leader="none" w:pos="9360"/>
      </w:tabs>
      <w:spacing w:after="0" w:line="240" w:lineRule="auto"/>
    </w:pPr>
  </w:style>
  <w:style w:type="paragraph" w:styleId="Footer">
    <w:uiPriority w:val="99"/>
    <w:name w:val="footer"/>
    <w:basedOn w:val="Normal"/>
    <w:unhideWhenUsed/>
    <w:rsid w:val="1739DD2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0f096573881e4e5d" /><Relationship Type="http://schemas.openxmlformats.org/officeDocument/2006/relationships/header" Target="header2.xml" Id="R88e6b23134264ca8" /><Relationship Type="http://schemas.openxmlformats.org/officeDocument/2006/relationships/footer" Target="footer.xml" Id="R9d79d54d95874b1c" /><Relationship Type="http://schemas.openxmlformats.org/officeDocument/2006/relationships/footer" Target="footer2.xml" Id="Rc9c84d4b5c0546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FEE40-2B68-4B09-9CA1-CE1C03D206DD}"/>
</file>

<file path=customXml/itemProps2.xml><?xml version="1.0" encoding="utf-8"?>
<ds:datastoreItem xmlns:ds="http://schemas.openxmlformats.org/officeDocument/2006/customXml" ds:itemID="{CA786F50-BE40-4400-83C4-FBF49FC52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01BF2-097E-4377-81B1-3091B8176D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10</cp:revision>
  <dcterms:created xsi:type="dcterms:W3CDTF">2022-09-27T13:48:00Z</dcterms:created>
  <dcterms:modified xsi:type="dcterms:W3CDTF">2026-05-11T14:06:33Z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2025-07-16T13:03:17Z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6029efd9-53fa-48f4-b394-fd27b261aa2a</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